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7A9" w:rsidRDefault="00A327A9" w:rsidP="00A327A9">
      <w:pPr>
        <w:jc w:val="right"/>
        <w:rPr>
          <w:szCs w:val="28"/>
        </w:rPr>
      </w:pPr>
      <w:r>
        <w:rPr>
          <w:szCs w:val="28"/>
        </w:rPr>
        <w:t>Приложение №2</w:t>
      </w:r>
    </w:p>
    <w:p w:rsidR="00A327A9" w:rsidRDefault="00A327A9" w:rsidP="00A327A9">
      <w:pPr>
        <w:jc w:val="right"/>
        <w:rPr>
          <w:szCs w:val="28"/>
        </w:rPr>
      </w:pPr>
      <w:r>
        <w:rPr>
          <w:szCs w:val="28"/>
        </w:rPr>
        <w:t>К стандартам раскрытия информации субъектами</w:t>
      </w:r>
    </w:p>
    <w:p w:rsidR="00A327A9" w:rsidRDefault="00A327A9" w:rsidP="00A327A9">
      <w:pPr>
        <w:jc w:val="right"/>
        <w:rPr>
          <w:szCs w:val="28"/>
        </w:rPr>
      </w:pPr>
      <w:proofErr w:type="gramStart"/>
      <w:r>
        <w:rPr>
          <w:szCs w:val="28"/>
        </w:rPr>
        <w:t>Оптового</w:t>
      </w:r>
      <w:proofErr w:type="gramEnd"/>
      <w:r>
        <w:rPr>
          <w:szCs w:val="28"/>
        </w:rPr>
        <w:t xml:space="preserve"> и розничных рынков электрической энергии</w:t>
      </w:r>
    </w:p>
    <w:p w:rsidR="00A327A9" w:rsidRDefault="00A327A9" w:rsidP="00A327A9">
      <w:pPr>
        <w:jc w:val="right"/>
        <w:rPr>
          <w:szCs w:val="28"/>
        </w:rPr>
      </w:pPr>
      <w:r>
        <w:rPr>
          <w:szCs w:val="28"/>
        </w:rPr>
        <w:t>(в ред. Постановления ГК РБ по тарифам от 25 ноября 2019 года №432)</w:t>
      </w:r>
    </w:p>
    <w:p w:rsidR="00A327A9" w:rsidRDefault="00A327A9" w:rsidP="00A327A9">
      <w:pPr>
        <w:jc w:val="center"/>
        <w:rPr>
          <w:rFonts w:ascii="Times New Roman" w:hAnsi="Times New Roman"/>
          <w:sz w:val="24"/>
          <w:szCs w:val="24"/>
        </w:rPr>
      </w:pPr>
    </w:p>
    <w:p w:rsidR="00A327A9" w:rsidRPr="007B3609" w:rsidRDefault="00A327A9" w:rsidP="00A327A9">
      <w:pPr>
        <w:jc w:val="center"/>
        <w:rPr>
          <w:rFonts w:ascii="Times New Roman" w:hAnsi="Times New Roman"/>
          <w:sz w:val="24"/>
          <w:szCs w:val="24"/>
        </w:rPr>
      </w:pPr>
      <w:r w:rsidRPr="007B3609">
        <w:rPr>
          <w:rFonts w:ascii="Times New Roman" w:hAnsi="Times New Roman"/>
          <w:sz w:val="24"/>
          <w:szCs w:val="24"/>
        </w:rPr>
        <w:t xml:space="preserve">И Н Ф О </w:t>
      </w:r>
      <w:proofErr w:type="gramStart"/>
      <w:r w:rsidRPr="007B3609">
        <w:rPr>
          <w:rFonts w:ascii="Times New Roman" w:hAnsi="Times New Roman"/>
          <w:sz w:val="24"/>
          <w:szCs w:val="24"/>
        </w:rPr>
        <w:t>Р</w:t>
      </w:r>
      <w:proofErr w:type="gramEnd"/>
      <w:r w:rsidRPr="007B3609">
        <w:rPr>
          <w:rFonts w:ascii="Times New Roman" w:hAnsi="Times New Roman"/>
          <w:sz w:val="24"/>
          <w:szCs w:val="24"/>
        </w:rPr>
        <w:t xml:space="preserve"> М А Ц И Я</w:t>
      </w:r>
    </w:p>
    <w:p w:rsidR="00A327A9" w:rsidRDefault="00A327A9" w:rsidP="00A327A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стандартизированных тарифных ставках для расчета платы за </w:t>
      </w:r>
      <w:proofErr w:type="gramStart"/>
      <w:r>
        <w:rPr>
          <w:rFonts w:ascii="Times New Roman" w:hAnsi="Times New Roman"/>
          <w:sz w:val="24"/>
          <w:szCs w:val="24"/>
        </w:rPr>
        <w:t>технологическое</w:t>
      </w:r>
      <w:proofErr w:type="gramEnd"/>
    </w:p>
    <w:p w:rsidR="00A327A9" w:rsidRDefault="00A327A9" w:rsidP="00A327A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присоединение к территориальным распределительным сетям на уровне</w:t>
      </w:r>
    </w:p>
    <w:p w:rsidR="00A327A9" w:rsidRDefault="00A327A9" w:rsidP="00A327A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напряжения ниже 35кВ и присоединяемой мощностью менее 8900кВт</w:t>
      </w:r>
    </w:p>
    <w:p w:rsidR="00A327A9" w:rsidRDefault="00A327A9" w:rsidP="00A327A9">
      <w:pPr>
        <w:jc w:val="center"/>
        <w:rPr>
          <w:rFonts w:ascii="Times New Roman" w:hAnsi="Times New Roman"/>
          <w:sz w:val="24"/>
          <w:szCs w:val="24"/>
        </w:rPr>
      </w:pPr>
    </w:p>
    <w:p w:rsidR="00A327A9" w:rsidRDefault="00A327A9" w:rsidP="00A327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С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- Стандартизированная тарифная ставка на покрытие расходов на технологическое присоединение </w:t>
      </w:r>
      <w:proofErr w:type="spellStart"/>
      <w:r>
        <w:rPr>
          <w:rFonts w:ascii="Times New Roman" w:hAnsi="Times New Roman"/>
          <w:sz w:val="24"/>
          <w:szCs w:val="24"/>
        </w:rPr>
        <w:t>энергпринимающих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устройств потребителей электрической энергии, объектов электросетевого хозяйства, принадлежащих сетевым организациям и иным лицам, по мероприятиям, указанным в пункте 16 Методических указаний по определению размера платы за технологическое присоединение к электрическим сетям, утвержденных приказом Федеральной антимонопольной службы от 29 августа 2017 года №1135/17 (кроме подпункта «б») (руб. за одно присоединение без учета НДС):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79"/>
        <w:gridCol w:w="4491"/>
        <w:gridCol w:w="2126"/>
        <w:gridCol w:w="2126"/>
      </w:tblGrid>
      <w:tr w:rsidR="00A327A9" w:rsidTr="00D76757">
        <w:tc>
          <w:tcPr>
            <w:tcW w:w="5070" w:type="dxa"/>
            <w:gridSpan w:val="2"/>
            <w:vAlign w:val="center"/>
          </w:tcPr>
          <w:p w:rsidR="00A327A9" w:rsidRDefault="00A327A9" w:rsidP="00D76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стандартизированных тарифных ставок</w:t>
            </w:r>
          </w:p>
        </w:tc>
        <w:tc>
          <w:tcPr>
            <w:tcW w:w="2126" w:type="dxa"/>
            <w:vAlign w:val="center"/>
          </w:tcPr>
          <w:p w:rsidR="00A327A9" w:rsidRDefault="00A327A9" w:rsidP="00D76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схема электроснабжения</w:t>
            </w:r>
          </w:p>
        </w:tc>
        <w:tc>
          <w:tcPr>
            <w:tcW w:w="2126" w:type="dxa"/>
            <w:vAlign w:val="center"/>
          </w:tcPr>
          <w:p w:rsidR="00A327A9" w:rsidRDefault="00A327A9" w:rsidP="00D76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Временная схема электроснабжения</w:t>
            </w:r>
          </w:p>
        </w:tc>
      </w:tr>
      <w:tr w:rsidR="00A327A9" w:rsidTr="00D76757">
        <w:tc>
          <w:tcPr>
            <w:tcW w:w="579" w:type="dxa"/>
          </w:tcPr>
          <w:p w:rsidR="00A327A9" w:rsidRPr="002107DE" w:rsidRDefault="00A327A9" w:rsidP="00D76757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4491" w:type="dxa"/>
          </w:tcPr>
          <w:p w:rsidR="00A327A9" w:rsidRDefault="00A327A9" w:rsidP="00D76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Стандартизированная тарифная ставка, в том числе в разбивке по следующим ставкам:</w:t>
            </w:r>
          </w:p>
        </w:tc>
        <w:tc>
          <w:tcPr>
            <w:tcW w:w="2126" w:type="dxa"/>
            <w:vAlign w:val="center"/>
          </w:tcPr>
          <w:p w:rsidR="00A327A9" w:rsidRDefault="00A327A9" w:rsidP="00D76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11821,80</w:t>
            </w:r>
          </w:p>
        </w:tc>
        <w:tc>
          <w:tcPr>
            <w:tcW w:w="2126" w:type="dxa"/>
            <w:vAlign w:val="center"/>
          </w:tcPr>
          <w:p w:rsidR="00A327A9" w:rsidRDefault="00A327A9" w:rsidP="00D76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11821,80</w:t>
            </w:r>
          </w:p>
        </w:tc>
      </w:tr>
      <w:tr w:rsidR="00A327A9" w:rsidTr="00D76757">
        <w:tc>
          <w:tcPr>
            <w:tcW w:w="579" w:type="dxa"/>
          </w:tcPr>
          <w:p w:rsidR="00A327A9" w:rsidRPr="002107DE" w:rsidRDefault="00A327A9" w:rsidP="00D76757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sz w:val="24"/>
                <w:szCs w:val="24"/>
                <w:vertAlign w:val="subscript"/>
              </w:rPr>
              <w:t>.1</w:t>
            </w:r>
          </w:p>
        </w:tc>
        <w:tc>
          <w:tcPr>
            <w:tcW w:w="4491" w:type="dxa"/>
          </w:tcPr>
          <w:p w:rsidR="00A327A9" w:rsidRDefault="00A327A9" w:rsidP="00D76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выдача сетевой организацией технических условий заявителю:</w:t>
            </w:r>
          </w:p>
        </w:tc>
        <w:tc>
          <w:tcPr>
            <w:tcW w:w="2126" w:type="dxa"/>
            <w:vAlign w:val="center"/>
          </w:tcPr>
          <w:p w:rsidR="00A327A9" w:rsidRDefault="00A327A9" w:rsidP="00D76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5404,55</w:t>
            </w:r>
          </w:p>
        </w:tc>
        <w:tc>
          <w:tcPr>
            <w:tcW w:w="2126" w:type="dxa"/>
            <w:vAlign w:val="center"/>
          </w:tcPr>
          <w:p w:rsidR="00A327A9" w:rsidRDefault="00A327A9" w:rsidP="00D76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5404,55</w:t>
            </w:r>
          </w:p>
        </w:tc>
      </w:tr>
      <w:tr w:rsidR="00A327A9" w:rsidTr="00D76757">
        <w:tc>
          <w:tcPr>
            <w:tcW w:w="579" w:type="dxa"/>
          </w:tcPr>
          <w:p w:rsidR="00A327A9" w:rsidRPr="002107DE" w:rsidRDefault="00A327A9" w:rsidP="00D76757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sz w:val="24"/>
                <w:szCs w:val="24"/>
                <w:vertAlign w:val="subscript"/>
              </w:rPr>
              <w:t>.2</w:t>
            </w:r>
          </w:p>
        </w:tc>
        <w:tc>
          <w:tcPr>
            <w:tcW w:w="4491" w:type="dxa"/>
          </w:tcPr>
          <w:p w:rsidR="00A327A9" w:rsidRDefault="00A327A9" w:rsidP="00D76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сетевой организацией выполнения заявителем технических условий:</w:t>
            </w:r>
          </w:p>
        </w:tc>
        <w:tc>
          <w:tcPr>
            <w:tcW w:w="2126" w:type="dxa"/>
            <w:vAlign w:val="center"/>
          </w:tcPr>
          <w:p w:rsidR="00A327A9" w:rsidRDefault="00A327A9" w:rsidP="00D76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6417,25</w:t>
            </w:r>
          </w:p>
        </w:tc>
        <w:tc>
          <w:tcPr>
            <w:tcW w:w="2126" w:type="dxa"/>
            <w:vAlign w:val="center"/>
          </w:tcPr>
          <w:p w:rsidR="00A327A9" w:rsidRDefault="00A327A9" w:rsidP="00D76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6417,25</w:t>
            </w:r>
          </w:p>
        </w:tc>
      </w:tr>
    </w:tbl>
    <w:p w:rsidR="00A327A9" w:rsidRDefault="00A327A9" w:rsidP="00A327A9">
      <w:pPr>
        <w:jc w:val="center"/>
        <w:rPr>
          <w:rFonts w:ascii="Times New Roman" w:hAnsi="Times New Roman"/>
          <w:sz w:val="24"/>
          <w:szCs w:val="24"/>
        </w:rPr>
      </w:pPr>
    </w:p>
    <w:p w:rsidR="00A327A9" w:rsidRDefault="00A327A9" w:rsidP="00A327A9">
      <w:pPr>
        <w:jc w:val="right"/>
        <w:rPr>
          <w:szCs w:val="28"/>
        </w:rPr>
      </w:pPr>
    </w:p>
    <w:p w:rsidR="00A327A9" w:rsidRDefault="00A327A9" w:rsidP="00A327A9">
      <w:pPr>
        <w:jc w:val="right"/>
        <w:rPr>
          <w:szCs w:val="28"/>
        </w:rPr>
      </w:pPr>
    </w:p>
    <w:p w:rsidR="00A327A9" w:rsidRDefault="00A327A9" w:rsidP="00A327A9">
      <w:pPr>
        <w:jc w:val="right"/>
        <w:rPr>
          <w:szCs w:val="28"/>
        </w:rPr>
      </w:pPr>
    </w:p>
    <w:p w:rsidR="00A327A9" w:rsidRDefault="00A327A9" w:rsidP="00A327A9">
      <w:pPr>
        <w:jc w:val="right"/>
        <w:rPr>
          <w:szCs w:val="28"/>
        </w:rPr>
      </w:pPr>
    </w:p>
    <w:p w:rsidR="00A327A9" w:rsidRDefault="00A327A9" w:rsidP="00A327A9">
      <w:pPr>
        <w:jc w:val="right"/>
        <w:rPr>
          <w:szCs w:val="28"/>
        </w:rPr>
      </w:pPr>
      <w:r>
        <w:rPr>
          <w:szCs w:val="28"/>
        </w:rPr>
        <w:lastRenderedPageBreak/>
        <w:t>Приложение №3</w:t>
      </w:r>
    </w:p>
    <w:p w:rsidR="00A327A9" w:rsidRDefault="00A327A9" w:rsidP="00A327A9">
      <w:pPr>
        <w:jc w:val="right"/>
        <w:rPr>
          <w:szCs w:val="28"/>
        </w:rPr>
      </w:pPr>
      <w:r>
        <w:rPr>
          <w:szCs w:val="28"/>
        </w:rPr>
        <w:t>К стандартам раскрытия информации субъектами</w:t>
      </w:r>
    </w:p>
    <w:p w:rsidR="00A327A9" w:rsidRDefault="00A327A9" w:rsidP="00A327A9">
      <w:pPr>
        <w:jc w:val="right"/>
        <w:rPr>
          <w:szCs w:val="28"/>
        </w:rPr>
      </w:pPr>
      <w:proofErr w:type="gramStart"/>
      <w:r>
        <w:rPr>
          <w:szCs w:val="28"/>
        </w:rPr>
        <w:t>Оптового</w:t>
      </w:r>
      <w:proofErr w:type="gramEnd"/>
      <w:r>
        <w:rPr>
          <w:szCs w:val="28"/>
        </w:rPr>
        <w:t xml:space="preserve"> и розничных рынков электрической энергии</w:t>
      </w:r>
    </w:p>
    <w:p w:rsidR="00A327A9" w:rsidRDefault="00A327A9" w:rsidP="00A327A9">
      <w:pPr>
        <w:jc w:val="right"/>
        <w:rPr>
          <w:szCs w:val="28"/>
        </w:rPr>
      </w:pPr>
      <w:r>
        <w:rPr>
          <w:szCs w:val="28"/>
        </w:rPr>
        <w:t>(в ред. Постановления ГК РБ по тарифам от 29 ноября 2019 года №493)</w:t>
      </w:r>
    </w:p>
    <w:p w:rsidR="00A327A9" w:rsidRDefault="00A327A9" w:rsidP="00A327A9">
      <w:pPr>
        <w:jc w:val="center"/>
        <w:rPr>
          <w:rFonts w:ascii="Times New Roman" w:hAnsi="Times New Roman"/>
          <w:sz w:val="24"/>
          <w:szCs w:val="24"/>
        </w:rPr>
      </w:pPr>
    </w:p>
    <w:p w:rsidR="00A327A9" w:rsidRPr="007B3609" w:rsidRDefault="00A327A9" w:rsidP="00A327A9">
      <w:pPr>
        <w:jc w:val="center"/>
        <w:rPr>
          <w:rFonts w:ascii="Times New Roman" w:hAnsi="Times New Roman"/>
          <w:sz w:val="24"/>
          <w:szCs w:val="24"/>
        </w:rPr>
      </w:pPr>
      <w:r w:rsidRPr="007B3609">
        <w:rPr>
          <w:rFonts w:ascii="Times New Roman" w:hAnsi="Times New Roman"/>
          <w:sz w:val="24"/>
          <w:szCs w:val="24"/>
        </w:rPr>
        <w:t xml:space="preserve">И Н Ф О </w:t>
      </w:r>
      <w:proofErr w:type="gramStart"/>
      <w:r w:rsidRPr="007B3609">
        <w:rPr>
          <w:rFonts w:ascii="Times New Roman" w:hAnsi="Times New Roman"/>
          <w:sz w:val="24"/>
          <w:szCs w:val="24"/>
        </w:rPr>
        <w:t>Р</w:t>
      </w:r>
      <w:proofErr w:type="gramEnd"/>
      <w:r w:rsidRPr="007B3609">
        <w:rPr>
          <w:rFonts w:ascii="Times New Roman" w:hAnsi="Times New Roman"/>
          <w:sz w:val="24"/>
          <w:szCs w:val="24"/>
        </w:rPr>
        <w:t xml:space="preserve"> М А Ц И Я</w:t>
      </w:r>
    </w:p>
    <w:p w:rsidR="00A327A9" w:rsidRPr="007B3609" w:rsidRDefault="00A327A9" w:rsidP="00A327A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ценах (тарифах) на регулируемые товары (работы, услуги)</w:t>
      </w:r>
    </w:p>
    <w:tbl>
      <w:tblPr>
        <w:tblStyle w:val="a6"/>
        <w:tblW w:w="9905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1418"/>
        <w:gridCol w:w="1614"/>
        <w:gridCol w:w="1378"/>
      </w:tblGrid>
      <w:tr w:rsidR="00A327A9" w:rsidTr="00D76757">
        <w:tc>
          <w:tcPr>
            <w:tcW w:w="2518" w:type="dxa"/>
            <w:vMerge w:val="restart"/>
            <w:vAlign w:val="center"/>
          </w:tcPr>
          <w:p w:rsidR="00A327A9" w:rsidRPr="007B3609" w:rsidRDefault="00A327A9" w:rsidP="00D76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2977" w:type="dxa"/>
            <w:vMerge w:val="restart"/>
            <w:vAlign w:val="center"/>
          </w:tcPr>
          <w:p w:rsidR="00A327A9" w:rsidRPr="007B3609" w:rsidRDefault="00A327A9" w:rsidP="00D76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регулирования</w:t>
            </w:r>
          </w:p>
        </w:tc>
        <w:tc>
          <w:tcPr>
            <w:tcW w:w="3032" w:type="dxa"/>
            <w:gridSpan w:val="2"/>
            <w:vAlign w:val="center"/>
          </w:tcPr>
          <w:p w:rsidR="00A327A9" w:rsidRPr="007B3609" w:rsidRDefault="00A327A9" w:rsidP="00D76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Двухставочный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тариф</w:t>
            </w:r>
          </w:p>
        </w:tc>
        <w:tc>
          <w:tcPr>
            <w:tcW w:w="1378" w:type="dxa"/>
            <w:vMerge w:val="restart"/>
            <w:vAlign w:val="center"/>
          </w:tcPr>
          <w:p w:rsidR="00A327A9" w:rsidRPr="007B3609" w:rsidRDefault="00A327A9" w:rsidP="00D76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тариф</w:t>
            </w:r>
          </w:p>
        </w:tc>
      </w:tr>
      <w:tr w:rsidR="00A327A9" w:rsidTr="00D76757">
        <w:tc>
          <w:tcPr>
            <w:tcW w:w="2518" w:type="dxa"/>
            <w:vMerge/>
            <w:vAlign w:val="center"/>
          </w:tcPr>
          <w:p w:rsidR="00A327A9" w:rsidRPr="007B3609" w:rsidRDefault="00A327A9" w:rsidP="00D76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327A9" w:rsidRPr="007B3609" w:rsidRDefault="00A327A9" w:rsidP="00D76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327A9" w:rsidRPr="007B3609" w:rsidRDefault="00A327A9" w:rsidP="00D76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1614" w:type="dxa"/>
            <w:vAlign w:val="center"/>
          </w:tcPr>
          <w:p w:rsidR="00A327A9" w:rsidRPr="007B3609" w:rsidRDefault="00A327A9" w:rsidP="00D76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378" w:type="dxa"/>
            <w:vMerge/>
            <w:vAlign w:val="center"/>
          </w:tcPr>
          <w:p w:rsidR="00A327A9" w:rsidRPr="007B3609" w:rsidRDefault="00A327A9" w:rsidP="00D76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7A9" w:rsidTr="00D76757">
        <w:tc>
          <w:tcPr>
            <w:tcW w:w="2518" w:type="dxa"/>
            <w:vMerge/>
            <w:vAlign w:val="center"/>
          </w:tcPr>
          <w:p w:rsidR="00A327A9" w:rsidRPr="007B3609" w:rsidRDefault="00A327A9" w:rsidP="00D76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327A9" w:rsidRPr="007B3609" w:rsidRDefault="00A327A9" w:rsidP="00D76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327A9" w:rsidRPr="007B3609" w:rsidRDefault="00A327A9" w:rsidP="00D76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руб./МВт* мес.</w:t>
            </w:r>
          </w:p>
        </w:tc>
        <w:tc>
          <w:tcPr>
            <w:tcW w:w="1614" w:type="dxa"/>
            <w:vAlign w:val="center"/>
          </w:tcPr>
          <w:p w:rsidR="00A327A9" w:rsidRPr="007B3609" w:rsidRDefault="00A327A9" w:rsidP="00D76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руб./МВт*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378" w:type="dxa"/>
            <w:vAlign w:val="center"/>
          </w:tcPr>
          <w:p w:rsidR="00A327A9" w:rsidRPr="007B3609" w:rsidRDefault="00A327A9" w:rsidP="00D76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руб./кВт*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</w:p>
        </w:tc>
      </w:tr>
      <w:tr w:rsidR="00A327A9" w:rsidTr="00D76757">
        <w:tc>
          <w:tcPr>
            <w:tcW w:w="2518" w:type="dxa"/>
            <w:vMerge w:val="restart"/>
            <w:vAlign w:val="center"/>
          </w:tcPr>
          <w:p w:rsidR="00A327A9" w:rsidRPr="007B3609" w:rsidRDefault="00A327A9" w:rsidP="00D76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«Башкирские распределительные электрические сети»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Сибайский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АО «Учалинский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Горнообогатительныйкомбинат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(без НДС)</w:t>
            </w:r>
          </w:p>
        </w:tc>
        <w:tc>
          <w:tcPr>
            <w:tcW w:w="2977" w:type="dxa"/>
            <w:vAlign w:val="center"/>
          </w:tcPr>
          <w:p w:rsidR="00A327A9" w:rsidRDefault="00A327A9" w:rsidP="00D767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27A9" w:rsidRPr="007B3609" w:rsidRDefault="00A327A9" w:rsidP="00D76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01.01.2020 по 30.06.2020</w:t>
            </w:r>
          </w:p>
        </w:tc>
        <w:tc>
          <w:tcPr>
            <w:tcW w:w="1418" w:type="dxa"/>
            <w:vAlign w:val="center"/>
          </w:tcPr>
          <w:p w:rsidR="00A327A9" w:rsidRDefault="00A327A9" w:rsidP="00D76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27A9" w:rsidRPr="007B3609" w:rsidRDefault="00A327A9" w:rsidP="00D76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128 617,87</w:t>
            </w:r>
          </w:p>
        </w:tc>
        <w:tc>
          <w:tcPr>
            <w:tcW w:w="1614" w:type="dxa"/>
            <w:vAlign w:val="center"/>
          </w:tcPr>
          <w:p w:rsidR="00A327A9" w:rsidRDefault="00A327A9" w:rsidP="00D76757">
            <w:pPr>
              <w:ind w:left="3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27A9" w:rsidRPr="007B3609" w:rsidRDefault="00A327A9" w:rsidP="00D76757">
            <w:pPr>
              <w:ind w:left="3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44,24</w:t>
            </w:r>
          </w:p>
        </w:tc>
        <w:tc>
          <w:tcPr>
            <w:tcW w:w="1378" w:type="dxa"/>
            <w:vAlign w:val="center"/>
          </w:tcPr>
          <w:p w:rsidR="00A327A9" w:rsidRDefault="00A327A9" w:rsidP="00D76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27A9" w:rsidRPr="007B3609" w:rsidRDefault="00A327A9" w:rsidP="00D76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0,30346</w:t>
            </w:r>
          </w:p>
        </w:tc>
      </w:tr>
      <w:tr w:rsidR="00A327A9" w:rsidTr="00D76757">
        <w:tc>
          <w:tcPr>
            <w:tcW w:w="2518" w:type="dxa"/>
            <w:vMerge/>
            <w:vAlign w:val="center"/>
          </w:tcPr>
          <w:p w:rsidR="00A327A9" w:rsidRDefault="00A327A9" w:rsidP="00D76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327A9" w:rsidRPr="007B3609" w:rsidRDefault="00A327A9" w:rsidP="00D76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01.07.2020 по 31.12.2020</w:t>
            </w:r>
          </w:p>
        </w:tc>
        <w:tc>
          <w:tcPr>
            <w:tcW w:w="1418" w:type="dxa"/>
            <w:vAlign w:val="center"/>
          </w:tcPr>
          <w:p w:rsidR="00A327A9" w:rsidRPr="007B3609" w:rsidRDefault="00A327A9" w:rsidP="00D76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128 617,87</w:t>
            </w:r>
          </w:p>
        </w:tc>
        <w:tc>
          <w:tcPr>
            <w:tcW w:w="1614" w:type="dxa"/>
            <w:vAlign w:val="center"/>
          </w:tcPr>
          <w:p w:rsidR="00A327A9" w:rsidRPr="007B3609" w:rsidRDefault="00A327A9" w:rsidP="00D76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44,24</w:t>
            </w:r>
          </w:p>
        </w:tc>
        <w:tc>
          <w:tcPr>
            <w:tcW w:w="1378" w:type="dxa"/>
            <w:vAlign w:val="center"/>
          </w:tcPr>
          <w:p w:rsidR="00A327A9" w:rsidRPr="007B3609" w:rsidRDefault="00A327A9" w:rsidP="00D76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0,30346</w:t>
            </w:r>
          </w:p>
        </w:tc>
      </w:tr>
    </w:tbl>
    <w:p w:rsidR="00A327A9" w:rsidRPr="007B3609" w:rsidRDefault="00A327A9" w:rsidP="00A327A9">
      <w:pPr>
        <w:rPr>
          <w:rFonts w:ascii="Times New Roman" w:hAnsi="Times New Roman"/>
          <w:sz w:val="24"/>
          <w:szCs w:val="24"/>
        </w:rPr>
        <w:sectPr w:rsidR="00A327A9" w:rsidRPr="007B3609" w:rsidSect="002131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327A9" w:rsidRDefault="00A327A9" w:rsidP="00A327A9">
      <w:pPr>
        <w:jc w:val="right"/>
        <w:rPr>
          <w:szCs w:val="28"/>
        </w:rPr>
      </w:pPr>
      <w:r>
        <w:rPr>
          <w:szCs w:val="28"/>
        </w:rPr>
        <w:lastRenderedPageBreak/>
        <w:t>Приложение №4</w:t>
      </w:r>
    </w:p>
    <w:p w:rsidR="00A327A9" w:rsidRDefault="00A327A9" w:rsidP="00A327A9">
      <w:pPr>
        <w:jc w:val="right"/>
        <w:rPr>
          <w:szCs w:val="28"/>
        </w:rPr>
      </w:pPr>
      <w:r>
        <w:rPr>
          <w:szCs w:val="28"/>
        </w:rPr>
        <w:t>К стандартам раскрытия информации субъектами</w:t>
      </w:r>
    </w:p>
    <w:p w:rsidR="00A327A9" w:rsidRDefault="00A327A9" w:rsidP="00A327A9">
      <w:pPr>
        <w:jc w:val="right"/>
        <w:rPr>
          <w:szCs w:val="28"/>
        </w:rPr>
      </w:pPr>
      <w:proofErr w:type="gramStart"/>
      <w:r>
        <w:rPr>
          <w:szCs w:val="28"/>
        </w:rPr>
        <w:t>Оптового</w:t>
      </w:r>
      <w:proofErr w:type="gramEnd"/>
      <w:r>
        <w:rPr>
          <w:szCs w:val="28"/>
        </w:rPr>
        <w:t xml:space="preserve"> и розничных рынков электрической энергии</w:t>
      </w:r>
    </w:p>
    <w:p w:rsidR="00A327A9" w:rsidRDefault="00A327A9" w:rsidP="00A327A9">
      <w:pPr>
        <w:jc w:val="center"/>
        <w:rPr>
          <w:rFonts w:ascii="Times New Roman" w:hAnsi="Times New Roman"/>
          <w:sz w:val="24"/>
          <w:szCs w:val="24"/>
        </w:rPr>
      </w:pPr>
    </w:p>
    <w:p w:rsidR="00A327A9" w:rsidRPr="007B3609" w:rsidRDefault="00A327A9" w:rsidP="00A327A9">
      <w:pPr>
        <w:jc w:val="center"/>
        <w:rPr>
          <w:rFonts w:ascii="Times New Roman" w:hAnsi="Times New Roman"/>
          <w:sz w:val="24"/>
          <w:szCs w:val="24"/>
        </w:rPr>
      </w:pPr>
      <w:r w:rsidRPr="007B3609">
        <w:rPr>
          <w:rFonts w:ascii="Times New Roman" w:hAnsi="Times New Roman"/>
          <w:sz w:val="24"/>
          <w:szCs w:val="24"/>
        </w:rPr>
        <w:t xml:space="preserve">И Н Ф О </w:t>
      </w:r>
      <w:proofErr w:type="gramStart"/>
      <w:r w:rsidRPr="007B3609">
        <w:rPr>
          <w:rFonts w:ascii="Times New Roman" w:hAnsi="Times New Roman"/>
          <w:sz w:val="24"/>
          <w:szCs w:val="24"/>
        </w:rPr>
        <w:t>Р</w:t>
      </w:r>
      <w:proofErr w:type="gramEnd"/>
      <w:r w:rsidRPr="007B3609">
        <w:rPr>
          <w:rFonts w:ascii="Times New Roman" w:hAnsi="Times New Roman"/>
          <w:sz w:val="24"/>
          <w:szCs w:val="24"/>
        </w:rPr>
        <w:t xml:space="preserve"> М А Ц И Я</w:t>
      </w:r>
    </w:p>
    <w:p w:rsidR="00A327A9" w:rsidRPr="007B3609" w:rsidRDefault="00A327A9" w:rsidP="00A327A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перечне зон деятельности с детализацией по населенным пунктам и районов городов</w:t>
      </w:r>
    </w:p>
    <w:tbl>
      <w:tblPr>
        <w:tblStyle w:val="a6"/>
        <w:tblW w:w="8472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2977"/>
      </w:tblGrid>
      <w:tr w:rsidR="00A327A9" w:rsidTr="00D76757">
        <w:trPr>
          <w:trHeight w:val="517"/>
        </w:trPr>
        <w:tc>
          <w:tcPr>
            <w:tcW w:w="2518" w:type="dxa"/>
            <w:vAlign w:val="center"/>
          </w:tcPr>
          <w:p w:rsidR="00A327A9" w:rsidRPr="007B3609" w:rsidRDefault="00A327A9" w:rsidP="00D76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2977" w:type="dxa"/>
            <w:vAlign w:val="center"/>
          </w:tcPr>
          <w:p w:rsidR="00A327A9" w:rsidRPr="007B3609" w:rsidRDefault="00A327A9" w:rsidP="00D76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деятельности</w:t>
            </w:r>
          </w:p>
        </w:tc>
        <w:tc>
          <w:tcPr>
            <w:tcW w:w="2977" w:type="dxa"/>
            <w:vAlign w:val="center"/>
          </w:tcPr>
          <w:p w:rsidR="00A327A9" w:rsidRDefault="00A327A9" w:rsidP="00D76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населенный пункт и район города</w:t>
            </w:r>
          </w:p>
        </w:tc>
      </w:tr>
      <w:tr w:rsidR="00A327A9" w:rsidTr="00D76757">
        <w:trPr>
          <w:trHeight w:val="517"/>
        </w:trPr>
        <w:tc>
          <w:tcPr>
            <w:tcW w:w="2518" w:type="dxa"/>
            <w:vAlign w:val="center"/>
          </w:tcPr>
          <w:p w:rsidR="00A327A9" w:rsidRPr="007B3609" w:rsidRDefault="00A327A9" w:rsidP="00D767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Сибайский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АО «Учалинский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Горнообогатительныйкомбинат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:rsidR="00A327A9" w:rsidRPr="007B3609" w:rsidRDefault="00A327A9" w:rsidP="00D76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2977" w:type="dxa"/>
            <w:vAlign w:val="center"/>
          </w:tcPr>
          <w:p w:rsidR="00A327A9" w:rsidRPr="007B3609" w:rsidRDefault="00A327A9" w:rsidP="00D76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Сибай</w:t>
            </w:r>
          </w:p>
        </w:tc>
      </w:tr>
    </w:tbl>
    <w:p w:rsidR="00A327A9" w:rsidRPr="007B3609" w:rsidRDefault="00A327A9" w:rsidP="00A327A9">
      <w:pPr>
        <w:rPr>
          <w:rFonts w:ascii="Times New Roman" w:hAnsi="Times New Roman"/>
          <w:sz w:val="24"/>
          <w:szCs w:val="24"/>
        </w:rPr>
        <w:sectPr w:rsidR="00A327A9" w:rsidRPr="007B3609" w:rsidSect="002131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327A9" w:rsidRDefault="00A327A9" w:rsidP="00A327A9">
      <w:pPr>
        <w:jc w:val="right"/>
        <w:rPr>
          <w:szCs w:val="28"/>
        </w:rPr>
      </w:pPr>
      <w:r>
        <w:rPr>
          <w:szCs w:val="28"/>
        </w:rPr>
        <w:lastRenderedPageBreak/>
        <w:t>Приложение №5</w:t>
      </w:r>
    </w:p>
    <w:p w:rsidR="00A327A9" w:rsidRDefault="00A327A9" w:rsidP="00A327A9">
      <w:pPr>
        <w:jc w:val="right"/>
        <w:rPr>
          <w:szCs w:val="28"/>
        </w:rPr>
      </w:pPr>
      <w:r>
        <w:rPr>
          <w:szCs w:val="28"/>
        </w:rPr>
        <w:t>К стандартам раскрытия информации субъектами</w:t>
      </w:r>
    </w:p>
    <w:p w:rsidR="00A327A9" w:rsidRDefault="00A327A9" w:rsidP="00A327A9">
      <w:pPr>
        <w:jc w:val="right"/>
        <w:rPr>
          <w:szCs w:val="28"/>
        </w:rPr>
      </w:pPr>
      <w:proofErr w:type="gramStart"/>
      <w:r>
        <w:rPr>
          <w:szCs w:val="28"/>
        </w:rPr>
        <w:t>Оптового</w:t>
      </w:r>
      <w:proofErr w:type="gramEnd"/>
      <w:r>
        <w:rPr>
          <w:szCs w:val="28"/>
        </w:rPr>
        <w:t xml:space="preserve"> и розничных рынков электрической энергии</w:t>
      </w:r>
    </w:p>
    <w:p w:rsidR="00A327A9" w:rsidRDefault="00A327A9" w:rsidP="00A327A9">
      <w:pPr>
        <w:jc w:val="center"/>
        <w:rPr>
          <w:rFonts w:ascii="Times New Roman" w:hAnsi="Times New Roman"/>
          <w:sz w:val="24"/>
          <w:szCs w:val="24"/>
        </w:rPr>
      </w:pPr>
    </w:p>
    <w:p w:rsidR="00A327A9" w:rsidRDefault="00A327A9" w:rsidP="00A327A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Н Ф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М А Ц И Я</w:t>
      </w:r>
    </w:p>
    <w:p w:rsidR="00A327A9" w:rsidRDefault="00A327A9" w:rsidP="00A327A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техническом состоянии сетей</w:t>
      </w:r>
    </w:p>
    <w:p w:rsidR="00A327A9" w:rsidRDefault="00A327A9" w:rsidP="00A327A9">
      <w:pPr>
        <w:rPr>
          <w:rFonts w:ascii="Times New Roman" w:hAnsi="Times New Roman"/>
          <w:sz w:val="24"/>
          <w:szCs w:val="24"/>
        </w:rPr>
        <w:sectPr w:rsidR="00A327A9" w:rsidSect="002131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Техническое состояние электрических сетей </w:t>
      </w:r>
      <w:proofErr w:type="spellStart"/>
      <w:r>
        <w:rPr>
          <w:rFonts w:ascii="Times New Roman" w:hAnsi="Times New Roman"/>
          <w:sz w:val="24"/>
          <w:szCs w:val="24"/>
        </w:rPr>
        <w:t>Сибайского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филиала АО «Учалинский ГОК», удовлетворительное.</w:t>
      </w:r>
    </w:p>
    <w:p w:rsidR="00A327A9" w:rsidRDefault="00A327A9" w:rsidP="00A327A9">
      <w:pPr>
        <w:jc w:val="right"/>
        <w:rPr>
          <w:szCs w:val="28"/>
        </w:rPr>
      </w:pPr>
      <w:r>
        <w:rPr>
          <w:szCs w:val="28"/>
        </w:rPr>
        <w:lastRenderedPageBreak/>
        <w:t>Приложение №6</w:t>
      </w:r>
    </w:p>
    <w:p w:rsidR="00A327A9" w:rsidRDefault="00A327A9" w:rsidP="00A327A9">
      <w:pPr>
        <w:jc w:val="right"/>
        <w:rPr>
          <w:szCs w:val="28"/>
        </w:rPr>
      </w:pPr>
      <w:r>
        <w:rPr>
          <w:szCs w:val="28"/>
        </w:rPr>
        <w:t>К стандартам раскрытия информации субъектами</w:t>
      </w:r>
    </w:p>
    <w:p w:rsidR="00A327A9" w:rsidRDefault="00A327A9" w:rsidP="00A327A9">
      <w:pPr>
        <w:jc w:val="right"/>
        <w:rPr>
          <w:szCs w:val="28"/>
        </w:rPr>
      </w:pPr>
      <w:proofErr w:type="gramStart"/>
      <w:r>
        <w:rPr>
          <w:szCs w:val="28"/>
        </w:rPr>
        <w:t>Оптового</w:t>
      </w:r>
      <w:proofErr w:type="gramEnd"/>
      <w:r>
        <w:rPr>
          <w:szCs w:val="28"/>
        </w:rPr>
        <w:t xml:space="preserve"> и розничных рынков электрической энергии</w:t>
      </w:r>
    </w:p>
    <w:p w:rsidR="00A327A9" w:rsidRDefault="00A327A9" w:rsidP="00A327A9">
      <w:pPr>
        <w:jc w:val="center"/>
        <w:rPr>
          <w:rFonts w:ascii="Times New Roman" w:hAnsi="Times New Roman"/>
          <w:sz w:val="24"/>
          <w:szCs w:val="24"/>
        </w:rPr>
      </w:pPr>
    </w:p>
    <w:p w:rsidR="00A327A9" w:rsidRDefault="00A327A9" w:rsidP="00A327A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Н Ф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М А Ц И Я</w:t>
      </w:r>
    </w:p>
    <w:p w:rsidR="00A327A9" w:rsidRDefault="00A327A9" w:rsidP="00A327A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способах приобретения, стоимости и объемах товаров, необходимых для оказания</w:t>
      </w:r>
    </w:p>
    <w:p w:rsidR="00A327A9" w:rsidRDefault="00A327A9" w:rsidP="00A327A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услуг по передаче электроэнергии</w:t>
      </w:r>
    </w:p>
    <w:p w:rsidR="00A327A9" w:rsidRDefault="00A327A9" w:rsidP="00A327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На предприятии </w:t>
      </w:r>
      <w:proofErr w:type="spellStart"/>
      <w:r>
        <w:rPr>
          <w:rFonts w:ascii="Times New Roman" w:hAnsi="Times New Roman"/>
          <w:sz w:val="24"/>
          <w:szCs w:val="24"/>
        </w:rPr>
        <w:t>Сибайского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филиала АО «Учалинский ГОК», способы приобретения объёмных товаров, необходимых для оказания услуг по передаче электроэнергии производится по стандартам </w:t>
      </w:r>
      <w:proofErr w:type="gramStart"/>
      <w:r>
        <w:rPr>
          <w:rFonts w:ascii="Times New Roman" w:hAnsi="Times New Roman"/>
          <w:sz w:val="24"/>
          <w:szCs w:val="24"/>
        </w:rPr>
        <w:t>СТ</w:t>
      </w:r>
      <w:proofErr w:type="gramEnd"/>
      <w:r>
        <w:rPr>
          <w:rFonts w:ascii="Times New Roman" w:hAnsi="Times New Roman"/>
          <w:sz w:val="24"/>
          <w:szCs w:val="24"/>
        </w:rPr>
        <w:t xml:space="preserve"> УГОК-11-18 (Учалинский ГОК), СТО УГОК-038-2020 (УГМК).</w:t>
      </w:r>
    </w:p>
    <w:p w:rsidR="00A327A9" w:rsidRDefault="00A327A9" w:rsidP="00A327A9">
      <w:pPr>
        <w:rPr>
          <w:rFonts w:ascii="Times New Roman" w:hAnsi="Times New Roman"/>
          <w:sz w:val="24"/>
          <w:szCs w:val="24"/>
        </w:rPr>
        <w:sectPr w:rsidR="00A327A9" w:rsidSect="002131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327A9" w:rsidRDefault="00A327A9" w:rsidP="00A327A9">
      <w:pPr>
        <w:jc w:val="right"/>
        <w:rPr>
          <w:szCs w:val="28"/>
        </w:rPr>
      </w:pPr>
      <w:r>
        <w:rPr>
          <w:szCs w:val="28"/>
        </w:rPr>
        <w:lastRenderedPageBreak/>
        <w:t>Приложение №7</w:t>
      </w:r>
    </w:p>
    <w:p w:rsidR="00A327A9" w:rsidRDefault="00A327A9" w:rsidP="00A327A9">
      <w:pPr>
        <w:jc w:val="right"/>
        <w:rPr>
          <w:szCs w:val="28"/>
        </w:rPr>
      </w:pPr>
      <w:r>
        <w:rPr>
          <w:szCs w:val="28"/>
        </w:rPr>
        <w:t>К стандартам раскрытия информации субъектами</w:t>
      </w:r>
    </w:p>
    <w:p w:rsidR="00A327A9" w:rsidRDefault="00A327A9" w:rsidP="00A327A9">
      <w:pPr>
        <w:jc w:val="right"/>
        <w:rPr>
          <w:szCs w:val="28"/>
        </w:rPr>
      </w:pPr>
      <w:proofErr w:type="gramStart"/>
      <w:r>
        <w:rPr>
          <w:szCs w:val="28"/>
        </w:rPr>
        <w:t>Оптового</w:t>
      </w:r>
      <w:proofErr w:type="gramEnd"/>
      <w:r>
        <w:rPr>
          <w:szCs w:val="28"/>
        </w:rPr>
        <w:t xml:space="preserve"> и розничных рынков электрической энергии</w:t>
      </w:r>
    </w:p>
    <w:p w:rsidR="00A327A9" w:rsidRDefault="00A327A9" w:rsidP="00A327A9">
      <w:pPr>
        <w:jc w:val="center"/>
        <w:rPr>
          <w:rFonts w:ascii="Times New Roman" w:hAnsi="Times New Roman"/>
          <w:sz w:val="24"/>
          <w:szCs w:val="24"/>
        </w:rPr>
      </w:pPr>
    </w:p>
    <w:p w:rsidR="00A327A9" w:rsidRDefault="00A327A9" w:rsidP="00A327A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Н Ф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М А Ц И Я</w:t>
      </w:r>
    </w:p>
    <w:p w:rsidR="00A327A9" w:rsidRDefault="00A327A9" w:rsidP="00A327A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инвестиционных программах (о проектах инвестиционных программ) и отчетах об их</w:t>
      </w:r>
    </w:p>
    <w:p w:rsidR="00A327A9" w:rsidRDefault="00A327A9" w:rsidP="00A327A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327A9" w:rsidTr="00D76757">
        <w:tc>
          <w:tcPr>
            <w:tcW w:w="4785" w:type="dxa"/>
            <w:vAlign w:val="center"/>
          </w:tcPr>
          <w:p w:rsidR="00A327A9" w:rsidRDefault="00A327A9" w:rsidP="00D76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4786" w:type="dxa"/>
            <w:vAlign w:val="center"/>
          </w:tcPr>
          <w:p w:rsidR="00A327A9" w:rsidRDefault="00A327A9" w:rsidP="00D76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Инвестиционные программы и проекты</w:t>
            </w:r>
          </w:p>
        </w:tc>
      </w:tr>
      <w:tr w:rsidR="00A327A9" w:rsidTr="00D76757">
        <w:tc>
          <w:tcPr>
            <w:tcW w:w="4785" w:type="dxa"/>
            <w:vAlign w:val="center"/>
          </w:tcPr>
          <w:p w:rsidR="00A327A9" w:rsidRDefault="00A327A9" w:rsidP="00D76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Сибайский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АО «Учалинский ГОК»</w:t>
            </w:r>
          </w:p>
        </w:tc>
        <w:tc>
          <w:tcPr>
            <w:tcW w:w="4786" w:type="dxa"/>
            <w:vAlign w:val="center"/>
          </w:tcPr>
          <w:p w:rsidR="00A327A9" w:rsidRDefault="00A327A9" w:rsidP="00D76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327A9" w:rsidRDefault="00A327A9" w:rsidP="00A327A9">
      <w:pPr>
        <w:jc w:val="center"/>
        <w:rPr>
          <w:rFonts w:ascii="Times New Roman" w:hAnsi="Times New Roman"/>
          <w:sz w:val="24"/>
          <w:szCs w:val="24"/>
        </w:rPr>
      </w:pPr>
    </w:p>
    <w:p w:rsidR="00A327A9" w:rsidRDefault="00A327A9" w:rsidP="00A327A9">
      <w:pPr>
        <w:jc w:val="center"/>
        <w:rPr>
          <w:rFonts w:ascii="Times New Roman" w:hAnsi="Times New Roman"/>
          <w:sz w:val="24"/>
          <w:szCs w:val="24"/>
        </w:rPr>
        <w:sectPr w:rsidR="00A327A9" w:rsidSect="002131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27A9" w:rsidRDefault="00A327A9" w:rsidP="00A327A9">
      <w:pPr>
        <w:jc w:val="right"/>
        <w:rPr>
          <w:szCs w:val="28"/>
        </w:rPr>
      </w:pPr>
      <w:r>
        <w:rPr>
          <w:szCs w:val="28"/>
        </w:rPr>
        <w:lastRenderedPageBreak/>
        <w:t>Приложение №8</w:t>
      </w:r>
    </w:p>
    <w:p w:rsidR="00A327A9" w:rsidRDefault="00A327A9" w:rsidP="00A327A9">
      <w:pPr>
        <w:jc w:val="right"/>
        <w:rPr>
          <w:szCs w:val="28"/>
        </w:rPr>
      </w:pPr>
      <w:r>
        <w:rPr>
          <w:szCs w:val="28"/>
        </w:rPr>
        <w:t>К стандартам раскрытия информации субъектами</w:t>
      </w:r>
    </w:p>
    <w:p w:rsidR="00A327A9" w:rsidRDefault="00A327A9" w:rsidP="00A327A9">
      <w:pPr>
        <w:jc w:val="right"/>
        <w:rPr>
          <w:szCs w:val="28"/>
        </w:rPr>
      </w:pPr>
      <w:proofErr w:type="gramStart"/>
      <w:r>
        <w:rPr>
          <w:szCs w:val="28"/>
        </w:rPr>
        <w:t>Оптового</w:t>
      </w:r>
      <w:proofErr w:type="gramEnd"/>
      <w:r>
        <w:rPr>
          <w:szCs w:val="28"/>
        </w:rPr>
        <w:t xml:space="preserve"> и розничных рынков электрической энергии</w:t>
      </w:r>
    </w:p>
    <w:p w:rsidR="00A327A9" w:rsidRDefault="00A327A9" w:rsidP="00A327A9">
      <w:pPr>
        <w:jc w:val="center"/>
        <w:rPr>
          <w:rFonts w:ascii="Times New Roman" w:hAnsi="Times New Roman"/>
          <w:sz w:val="24"/>
          <w:szCs w:val="24"/>
        </w:rPr>
      </w:pPr>
    </w:p>
    <w:p w:rsidR="00A327A9" w:rsidRDefault="00A327A9" w:rsidP="00A327A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Т Ч Е Т </w:t>
      </w:r>
    </w:p>
    <w:p w:rsidR="00A327A9" w:rsidRDefault="00A327A9" w:rsidP="00A327A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выполнении годовых планов капитальных вложений и планов капитального ремонта (инвестиционных программ) с указанием достигнутых результатов в части расширения пропускной способности, снижения потерь в сетях и увеличения резерва для присоединения потребителей отдельно по каждому центру питания напряжением 35кВ и выше по форме, утверждаемой уполномоченным Правительством РФ федеральным органом исполнительной власти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327A9" w:rsidTr="00D76757">
        <w:tc>
          <w:tcPr>
            <w:tcW w:w="4785" w:type="dxa"/>
            <w:vAlign w:val="center"/>
          </w:tcPr>
          <w:p w:rsidR="00A327A9" w:rsidRDefault="00A327A9" w:rsidP="00D76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4786" w:type="dxa"/>
            <w:vAlign w:val="center"/>
          </w:tcPr>
          <w:p w:rsidR="00A327A9" w:rsidRDefault="00A327A9" w:rsidP="00D76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годовых планов</w:t>
            </w:r>
          </w:p>
        </w:tc>
      </w:tr>
      <w:tr w:rsidR="00A327A9" w:rsidTr="00D76757">
        <w:tc>
          <w:tcPr>
            <w:tcW w:w="4785" w:type="dxa"/>
            <w:vAlign w:val="center"/>
          </w:tcPr>
          <w:p w:rsidR="00A327A9" w:rsidRDefault="00A327A9" w:rsidP="00D76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Сибайский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АО «Учалинский ГОК»</w:t>
            </w:r>
          </w:p>
        </w:tc>
        <w:tc>
          <w:tcPr>
            <w:tcW w:w="4786" w:type="dxa"/>
            <w:vAlign w:val="center"/>
          </w:tcPr>
          <w:p w:rsidR="00A327A9" w:rsidRDefault="00A327A9" w:rsidP="00D76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327A9" w:rsidRDefault="00A327A9" w:rsidP="00A327A9">
      <w:pPr>
        <w:jc w:val="center"/>
        <w:rPr>
          <w:rFonts w:ascii="Times New Roman" w:hAnsi="Times New Roman"/>
          <w:sz w:val="24"/>
          <w:szCs w:val="24"/>
        </w:rPr>
      </w:pPr>
    </w:p>
    <w:p w:rsidR="00A327A9" w:rsidRDefault="00A327A9" w:rsidP="00A327A9">
      <w:pPr>
        <w:jc w:val="center"/>
        <w:rPr>
          <w:rFonts w:ascii="Times New Roman" w:hAnsi="Times New Roman"/>
          <w:sz w:val="24"/>
          <w:szCs w:val="24"/>
        </w:rPr>
      </w:pPr>
    </w:p>
    <w:p w:rsidR="00A327A9" w:rsidRDefault="00A327A9" w:rsidP="00A327A9">
      <w:pPr>
        <w:jc w:val="center"/>
        <w:rPr>
          <w:rFonts w:ascii="Times New Roman" w:hAnsi="Times New Roman"/>
          <w:sz w:val="24"/>
          <w:szCs w:val="24"/>
        </w:rPr>
      </w:pPr>
    </w:p>
    <w:p w:rsidR="00A327A9" w:rsidRDefault="00A327A9" w:rsidP="00492DD1">
      <w:pPr>
        <w:jc w:val="right"/>
        <w:rPr>
          <w:szCs w:val="28"/>
        </w:rPr>
      </w:pPr>
    </w:p>
    <w:p w:rsidR="00A327A9" w:rsidRDefault="00A327A9" w:rsidP="00492DD1">
      <w:pPr>
        <w:jc w:val="right"/>
        <w:rPr>
          <w:szCs w:val="28"/>
        </w:rPr>
      </w:pPr>
    </w:p>
    <w:p w:rsidR="00A327A9" w:rsidRDefault="00A327A9" w:rsidP="00492DD1">
      <w:pPr>
        <w:jc w:val="right"/>
        <w:rPr>
          <w:szCs w:val="28"/>
        </w:rPr>
      </w:pPr>
    </w:p>
    <w:p w:rsidR="00A327A9" w:rsidRDefault="00A327A9" w:rsidP="00492DD1">
      <w:pPr>
        <w:jc w:val="right"/>
        <w:rPr>
          <w:szCs w:val="28"/>
        </w:rPr>
      </w:pPr>
    </w:p>
    <w:p w:rsidR="00A327A9" w:rsidRDefault="00A327A9" w:rsidP="00492DD1">
      <w:pPr>
        <w:jc w:val="right"/>
        <w:rPr>
          <w:szCs w:val="28"/>
        </w:rPr>
      </w:pPr>
    </w:p>
    <w:p w:rsidR="00A327A9" w:rsidRDefault="00A327A9" w:rsidP="00492DD1">
      <w:pPr>
        <w:jc w:val="right"/>
        <w:rPr>
          <w:szCs w:val="28"/>
        </w:rPr>
      </w:pPr>
    </w:p>
    <w:p w:rsidR="00A327A9" w:rsidRDefault="00A327A9" w:rsidP="00492DD1">
      <w:pPr>
        <w:jc w:val="right"/>
        <w:rPr>
          <w:szCs w:val="28"/>
        </w:rPr>
      </w:pPr>
    </w:p>
    <w:p w:rsidR="00A327A9" w:rsidRDefault="00A327A9" w:rsidP="00492DD1">
      <w:pPr>
        <w:jc w:val="right"/>
        <w:rPr>
          <w:szCs w:val="28"/>
        </w:rPr>
      </w:pPr>
    </w:p>
    <w:p w:rsidR="00A327A9" w:rsidRDefault="00A327A9" w:rsidP="00492DD1">
      <w:pPr>
        <w:jc w:val="right"/>
        <w:rPr>
          <w:szCs w:val="28"/>
        </w:rPr>
      </w:pPr>
    </w:p>
    <w:p w:rsidR="00A327A9" w:rsidRDefault="00A327A9" w:rsidP="00492DD1">
      <w:pPr>
        <w:jc w:val="right"/>
        <w:rPr>
          <w:szCs w:val="28"/>
        </w:rPr>
      </w:pPr>
    </w:p>
    <w:p w:rsidR="00A327A9" w:rsidRDefault="00A327A9" w:rsidP="00492DD1">
      <w:pPr>
        <w:jc w:val="right"/>
        <w:rPr>
          <w:szCs w:val="28"/>
        </w:rPr>
      </w:pPr>
    </w:p>
    <w:p w:rsidR="00A327A9" w:rsidRDefault="00A327A9" w:rsidP="00492DD1">
      <w:pPr>
        <w:jc w:val="right"/>
        <w:rPr>
          <w:szCs w:val="28"/>
        </w:rPr>
      </w:pPr>
    </w:p>
    <w:p w:rsidR="00A327A9" w:rsidRDefault="00A327A9" w:rsidP="00492DD1">
      <w:pPr>
        <w:jc w:val="right"/>
        <w:rPr>
          <w:szCs w:val="28"/>
        </w:rPr>
      </w:pPr>
    </w:p>
    <w:p w:rsidR="00A327A9" w:rsidRDefault="00A327A9" w:rsidP="00492DD1">
      <w:pPr>
        <w:jc w:val="right"/>
        <w:rPr>
          <w:szCs w:val="28"/>
        </w:rPr>
      </w:pPr>
      <w:bookmarkStart w:id="0" w:name="_GoBack"/>
      <w:bookmarkEnd w:id="0"/>
    </w:p>
    <w:p w:rsidR="00492DD1" w:rsidRDefault="00A327A9" w:rsidP="00492DD1">
      <w:pPr>
        <w:jc w:val="right"/>
        <w:rPr>
          <w:szCs w:val="28"/>
        </w:rPr>
      </w:pPr>
      <w:r>
        <w:rPr>
          <w:szCs w:val="28"/>
        </w:rPr>
        <w:lastRenderedPageBreak/>
        <w:t>Приложение №</w:t>
      </w:r>
      <w:r w:rsidR="00AB0132">
        <w:rPr>
          <w:szCs w:val="28"/>
        </w:rPr>
        <w:t>9</w:t>
      </w:r>
    </w:p>
    <w:p w:rsidR="00492DD1" w:rsidRDefault="00A327A9" w:rsidP="00492DD1">
      <w:pPr>
        <w:jc w:val="right"/>
        <w:rPr>
          <w:szCs w:val="28"/>
        </w:rPr>
      </w:pPr>
      <w:r>
        <w:rPr>
          <w:szCs w:val="28"/>
        </w:rPr>
        <w:t>К стандартам раскрытия информации субъектами</w:t>
      </w:r>
    </w:p>
    <w:p w:rsidR="00492DD1" w:rsidRDefault="00A327A9" w:rsidP="00492DD1">
      <w:pPr>
        <w:jc w:val="right"/>
        <w:rPr>
          <w:szCs w:val="28"/>
        </w:rPr>
      </w:pPr>
      <w:r>
        <w:rPr>
          <w:szCs w:val="28"/>
        </w:rPr>
        <w:t>Оптового и розничных рынков электрической энергии</w:t>
      </w:r>
    </w:p>
    <w:p w:rsidR="000E165B" w:rsidRDefault="000E165B" w:rsidP="004108A1">
      <w:pPr>
        <w:jc w:val="center"/>
        <w:rPr>
          <w:rFonts w:ascii="Times New Roman" w:hAnsi="Times New Roman"/>
          <w:sz w:val="24"/>
          <w:szCs w:val="24"/>
        </w:rPr>
      </w:pPr>
    </w:p>
    <w:p w:rsidR="00381408" w:rsidRDefault="00A327A9" w:rsidP="004108A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Н Ф О Р М А Ц И Я </w:t>
      </w:r>
    </w:p>
    <w:p w:rsidR="00DB4D88" w:rsidRDefault="00A327A9" w:rsidP="00DB4D8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="00AB0132">
        <w:rPr>
          <w:rFonts w:ascii="Times New Roman" w:hAnsi="Times New Roman"/>
          <w:sz w:val="24"/>
          <w:szCs w:val="24"/>
        </w:rPr>
        <w:t>планах капитальных вложений и планах капитального ремонта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27240" w:rsidTr="00B355EA">
        <w:tc>
          <w:tcPr>
            <w:tcW w:w="4785" w:type="dxa"/>
            <w:vAlign w:val="center"/>
          </w:tcPr>
          <w:p w:rsidR="00DB4D88" w:rsidRDefault="00A327A9" w:rsidP="00B35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4786" w:type="dxa"/>
            <w:vAlign w:val="center"/>
          </w:tcPr>
          <w:p w:rsidR="00DB4D88" w:rsidRDefault="00A327A9" w:rsidP="00B35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планы капитальных вложений и </w:t>
            </w:r>
            <w:r>
              <w:rPr>
                <w:rFonts w:ascii="Times New Roman" w:hAnsi="Times New Roman"/>
                <w:sz w:val="24"/>
                <w:szCs w:val="24"/>
              </w:rPr>
              <w:t>капитального ремонта</w:t>
            </w:r>
          </w:p>
        </w:tc>
      </w:tr>
      <w:tr w:rsidR="00C27240" w:rsidTr="00B355EA">
        <w:tc>
          <w:tcPr>
            <w:tcW w:w="4785" w:type="dxa"/>
            <w:vAlign w:val="center"/>
          </w:tcPr>
          <w:p w:rsidR="00DB4D88" w:rsidRDefault="00A327A9" w:rsidP="00B35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Сибайский филиал АО «Учалинский ГОК»</w:t>
            </w:r>
          </w:p>
        </w:tc>
        <w:tc>
          <w:tcPr>
            <w:tcW w:w="4786" w:type="dxa"/>
            <w:vAlign w:val="center"/>
          </w:tcPr>
          <w:p w:rsidR="00DB4D88" w:rsidRDefault="00A327A9" w:rsidP="00B35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B4D88" w:rsidRDefault="00DB4D88" w:rsidP="00DB4D88">
      <w:pPr>
        <w:jc w:val="center"/>
        <w:rPr>
          <w:rFonts w:ascii="Times New Roman" w:hAnsi="Times New Roman"/>
          <w:sz w:val="24"/>
          <w:szCs w:val="24"/>
        </w:rPr>
      </w:pPr>
    </w:p>
    <w:p w:rsidR="00F06424" w:rsidRDefault="00F06424" w:rsidP="00F06424">
      <w:pPr>
        <w:jc w:val="center"/>
        <w:rPr>
          <w:rFonts w:ascii="Times New Roman" w:hAnsi="Times New Roman"/>
          <w:sz w:val="24"/>
          <w:szCs w:val="24"/>
        </w:rPr>
      </w:pPr>
    </w:p>
    <w:p w:rsidR="00F06424" w:rsidRDefault="00F06424" w:rsidP="00F06424">
      <w:pPr>
        <w:jc w:val="center"/>
        <w:rPr>
          <w:rFonts w:ascii="Times New Roman" w:hAnsi="Times New Roman"/>
          <w:sz w:val="24"/>
          <w:szCs w:val="24"/>
        </w:rPr>
        <w:sectPr w:rsidR="00F06424" w:rsidSect="002131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2DD1" w:rsidRDefault="00A327A9" w:rsidP="00492DD1">
      <w:pPr>
        <w:jc w:val="right"/>
        <w:rPr>
          <w:szCs w:val="28"/>
        </w:rPr>
      </w:pPr>
      <w:r>
        <w:rPr>
          <w:szCs w:val="28"/>
        </w:rPr>
        <w:lastRenderedPageBreak/>
        <w:t>Приложение №</w:t>
      </w:r>
      <w:r w:rsidR="00283E97">
        <w:rPr>
          <w:szCs w:val="28"/>
        </w:rPr>
        <w:t>10</w:t>
      </w:r>
    </w:p>
    <w:p w:rsidR="00492DD1" w:rsidRDefault="00A327A9" w:rsidP="00492DD1">
      <w:pPr>
        <w:jc w:val="right"/>
        <w:rPr>
          <w:szCs w:val="28"/>
        </w:rPr>
      </w:pPr>
      <w:r>
        <w:rPr>
          <w:szCs w:val="28"/>
        </w:rPr>
        <w:t>К стандартам раскрытия информации субъектами</w:t>
      </w:r>
    </w:p>
    <w:p w:rsidR="00492DD1" w:rsidRDefault="00A327A9" w:rsidP="00492DD1">
      <w:pPr>
        <w:jc w:val="right"/>
        <w:rPr>
          <w:szCs w:val="28"/>
        </w:rPr>
      </w:pPr>
      <w:r>
        <w:rPr>
          <w:szCs w:val="28"/>
        </w:rPr>
        <w:t>Оптового и розничных рынков электрической энергии</w:t>
      </w:r>
    </w:p>
    <w:p w:rsidR="000E165B" w:rsidRDefault="000E165B" w:rsidP="004108A1">
      <w:pPr>
        <w:jc w:val="center"/>
        <w:rPr>
          <w:rFonts w:ascii="Times New Roman" w:hAnsi="Times New Roman"/>
          <w:sz w:val="24"/>
          <w:szCs w:val="24"/>
        </w:rPr>
      </w:pPr>
    </w:p>
    <w:p w:rsidR="00381408" w:rsidRDefault="00A327A9" w:rsidP="004108A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Н Ф О Р М А Ц И Я </w:t>
      </w:r>
    </w:p>
    <w:p w:rsidR="00DB4D88" w:rsidRDefault="00A327A9" w:rsidP="00DB4D8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обновлении планов капитальных вложений и</w:t>
      </w:r>
      <w:r>
        <w:rPr>
          <w:rFonts w:ascii="Times New Roman" w:hAnsi="Times New Roman"/>
          <w:sz w:val="24"/>
          <w:szCs w:val="24"/>
        </w:rPr>
        <w:t xml:space="preserve"> капитального ремонта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27240" w:rsidTr="00B355EA">
        <w:tc>
          <w:tcPr>
            <w:tcW w:w="4785" w:type="dxa"/>
            <w:vAlign w:val="center"/>
          </w:tcPr>
          <w:p w:rsidR="00DB4D88" w:rsidRDefault="00A327A9" w:rsidP="00B35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4786" w:type="dxa"/>
            <w:vAlign w:val="center"/>
          </w:tcPr>
          <w:p w:rsidR="00DB4D88" w:rsidRDefault="00A327A9" w:rsidP="00B35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 капитальных вложений и капитального ремонта</w:t>
            </w:r>
          </w:p>
        </w:tc>
      </w:tr>
      <w:tr w:rsidR="00C27240" w:rsidTr="00B355EA">
        <w:tc>
          <w:tcPr>
            <w:tcW w:w="4785" w:type="dxa"/>
            <w:vAlign w:val="center"/>
          </w:tcPr>
          <w:p w:rsidR="00DB4D88" w:rsidRDefault="00A327A9" w:rsidP="00B35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Сибайский филиал АО «Учалинский ГОК»</w:t>
            </w:r>
          </w:p>
        </w:tc>
        <w:tc>
          <w:tcPr>
            <w:tcW w:w="4786" w:type="dxa"/>
            <w:vAlign w:val="center"/>
          </w:tcPr>
          <w:p w:rsidR="00DB4D88" w:rsidRDefault="00A327A9" w:rsidP="00B35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B4D88" w:rsidRDefault="00DB4D88" w:rsidP="00DB4D88">
      <w:pPr>
        <w:jc w:val="center"/>
        <w:rPr>
          <w:rFonts w:ascii="Times New Roman" w:hAnsi="Times New Roman"/>
          <w:sz w:val="24"/>
          <w:szCs w:val="24"/>
        </w:rPr>
      </w:pPr>
    </w:p>
    <w:p w:rsidR="00F06424" w:rsidRDefault="00F06424" w:rsidP="00F06424">
      <w:pPr>
        <w:jc w:val="center"/>
        <w:rPr>
          <w:rFonts w:ascii="Times New Roman" w:hAnsi="Times New Roman"/>
          <w:sz w:val="24"/>
          <w:szCs w:val="24"/>
        </w:rPr>
      </w:pPr>
    </w:p>
    <w:p w:rsidR="00F06424" w:rsidRDefault="00F06424" w:rsidP="00F06424">
      <w:pPr>
        <w:jc w:val="center"/>
        <w:rPr>
          <w:rFonts w:ascii="Times New Roman" w:hAnsi="Times New Roman"/>
          <w:sz w:val="24"/>
          <w:szCs w:val="24"/>
        </w:rPr>
        <w:sectPr w:rsidR="00F06424" w:rsidSect="002131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2DD1" w:rsidRDefault="00A327A9" w:rsidP="00492DD1">
      <w:pPr>
        <w:jc w:val="right"/>
        <w:rPr>
          <w:szCs w:val="28"/>
        </w:rPr>
      </w:pPr>
      <w:r>
        <w:rPr>
          <w:szCs w:val="28"/>
        </w:rPr>
        <w:lastRenderedPageBreak/>
        <w:t>Приложение №</w:t>
      </w:r>
      <w:r w:rsidR="00283E97">
        <w:rPr>
          <w:szCs w:val="28"/>
        </w:rPr>
        <w:t>1</w:t>
      </w:r>
      <w:r w:rsidR="008E6295">
        <w:rPr>
          <w:szCs w:val="28"/>
        </w:rPr>
        <w:t>1</w:t>
      </w:r>
    </w:p>
    <w:p w:rsidR="00492DD1" w:rsidRDefault="00A327A9" w:rsidP="00492DD1">
      <w:pPr>
        <w:jc w:val="right"/>
        <w:rPr>
          <w:szCs w:val="28"/>
        </w:rPr>
      </w:pPr>
      <w:r>
        <w:rPr>
          <w:szCs w:val="28"/>
        </w:rPr>
        <w:t>К стандартам раскрытия информации субъектами</w:t>
      </w:r>
    </w:p>
    <w:p w:rsidR="00492DD1" w:rsidRDefault="00A327A9" w:rsidP="00492DD1">
      <w:pPr>
        <w:jc w:val="right"/>
        <w:rPr>
          <w:szCs w:val="28"/>
        </w:rPr>
      </w:pPr>
      <w:r>
        <w:rPr>
          <w:szCs w:val="28"/>
        </w:rPr>
        <w:t>Оптового и розничных рынков электрическ</w:t>
      </w:r>
      <w:r>
        <w:rPr>
          <w:szCs w:val="28"/>
        </w:rPr>
        <w:t>ой энергии</w:t>
      </w:r>
    </w:p>
    <w:p w:rsidR="000E165B" w:rsidRDefault="000E165B" w:rsidP="004108A1">
      <w:pPr>
        <w:jc w:val="center"/>
        <w:rPr>
          <w:rFonts w:ascii="Times New Roman" w:hAnsi="Times New Roman"/>
          <w:sz w:val="24"/>
          <w:szCs w:val="24"/>
        </w:rPr>
      </w:pPr>
    </w:p>
    <w:p w:rsidR="00381408" w:rsidRDefault="00A327A9" w:rsidP="004108A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Н Ф О Р М А Ц И Я </w:t>
      </w:r>
    </w:p>
    <w:p w:rsidR="00DB4D88" w:rsidRDefault="00A327A9" w:rsidP="00DB4D8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корпоративных правилах осуществления закупок (включая использование конкурсов, аукционов)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27240" w:rsidTr="00B355EA">
        <w:tc>
          <w:tcPr>
            <w:tcW w:w="4785" w:type="dxa"/>
            <w:vAlign w:val="center"/>
          </w:tcPr>
          <w:p w:rsidR="00DB4D88" w:rsidRDefault="00A327A9" w:rsidP="00B35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4786" w:type="dxa"/>
            <w:vAlign w:val="center"/>
          </w:tcPr>
          <w:p w:rsidR="00DB4D88" w:rsidRDefault="00A327A9" w:rsidP="00B35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Корпоративные правила осуществления закупок</w:t>
            </w:r>
          </w:p>
        </w:tc>
      </w:tr>
      <w:tr w:rsidR="00C27240" w:rsidTr="00B355EA">
        <w:tc>
          <w:tcPr>
            <w:tcW w:w="4785" w:type="dxa"/>
            <w:vAlign w:val="center"/>
          </w:tcPr>
          <w:p w:rsidR="00DB4D88" w:rsidRDefault="00A327A9" w:rsidP="00B35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Сибайский филиал АО «Учалинский ГОК»</w:t>
            </w:r>
          </w:p>
        </w:tc>
        <w:tc>
          <w:tcPr>
            <w:tcW w:w="4786" w:type="dxa"/>
            <w:vAlign w:val="center"/>
          </w:tcPr>
          <w:p w:rsidR="00DB4D88" w:rsidRDefault="00A327A9" w:rsidP="00B35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Стандарт УГОК-38-13 </w:t>
            </w:r>
            <w:r>
              <w:rPr>
                <w:rFonts w:ascii="Times New Roman" w:hAnsi="Times New Roman"/>
                <w:sz w:val="24"/>
                <w:szCs w:val="24"/>
              </w:rPr>
              <w:t>Процедуры по выбору подрядчиков, исполнителей для нужд АО «Учалинский ГОК»</w:t>
            </w:r>
          </w:p>
          <w:p w:rsidR="008E6295" w:rsidRDefault="00A327A9" w:rsidP="00B35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 УГМК-038-2020</w:t>
            </w:r>
          </w:p>
        </w:tc>
      </w:tr>
    </w:tbl>
    <w:p w:rsidR="00DB4D88" w:rsidRDefault="00DB4D88" w:rsidP="00DB4D88">
      <w:pPr>
        <w:jc w:val="center"/>
        <w:rPr>
          <w:rFonts w:ascii="Times New Roman" w:hAnsi="Times New Roman"/>
          <w:sz w:val="24"/>
          <w:szCs w:val="24"/>
        </w:rPr>
      </w:pPr>
    </w:p>
    <w:p w:rsidR="00F06424" w:rsidRDefault="00F06424" w:rsidP="00F06424">
      <w:pPr>
        <w:jc w:val="center"/>
        <w:rPr>
          <w:rFonts w:ascii="Times New Roman" w:hAnsi="Times New Roman"/>
          <w:sz w:val="24"/>
          <w:szCs w:val="24"/>
        </w:rPr>
      </w:pPr>
    </w:p>
    <w:p w:rsidR="00F06424" w:rsidRDefault="00F06424" w:rsidP="00F06424">
      <w:pPr>
        <w:jc w:val="center"/>
        <w:rPr>
          <w:rFonts w:ascii="Times New Roman" w:hAnsi="Times New Roman"/>
          <w:sz w:val="24"/>
          <w:szCs w:val="24"/>
        </w:rPr>
        <w:sectPr w:rsidR="00F06424" w:rsidSect="002131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2DD1" w:rsidRDefault="00A327A9" w:rsidP="00492DD1">
      <w:pPr>
        <w:jc w:val="right"/>
        <w:rPr>
          <w:szCs w:val="28"/>
        </w:rPr>
      </w:pPr>
      <w:r>
        <w:rPr>
          <w:szCs w:val="28"/>
        </w:rPr>
        <w:lastRenderedPageBreak/>
        <w:t>Приложение №</w:t>
      </w:r>
      <w:r w:rsidR="00283E97">
        <w:rPr>
          <w:szCs w:val="28"/>
        </w:rPr>
        <w:t>1</w:t>
      </w:r>
      <w:r w:rsidR="001659CD">
        <w:rPr>
          <w:szCs w:val="28"/>
        </w:rPr>
        <w:t>2</w:t>
      </w:r>
    </w:p>
    <w:p w:rsidR="00492DD1" w:rsidRDefault="00A327A9" w:rsidP="00492DD1">
      <w:pPr>
        <w:jc w:val="right"/>
        <w:rPr>
          <w:szCs w:val="28"/>
        </w:rPr>
      </w:pPr>
      <w:r>
        <w:rPr>
          <w:szCs w:val="28"/>
        </w:rPr>
        <w:t>К стандартам раскрытия информации субъектами</w:t>
      </w:r>
    </w:p>
    <w:p w:rsidR="00492DD1" w:rsidRDefault="00A327A9" w:rsidP="00492DD1">
      <w:pPr>
        <w:jc w:val="right"/>
        <w:rPr>
          <w:szCs w:val="28"/>
        </w:rPr>
      </w:pPr>
      <w:r>
        <w:rPr>
          <w:szCs w:val="28"/>
        </w:rPr>
        <w:t>Оптового и розничных рынков электрической энергии</w:t>
      </w:r>
    </w:p>
    <w:p w:rsidR="000E165B" w:rsidRDefault="000E165B" w:rsidP="004108A1">
      <w:pPr>
        <w:jc w:val="center"/>
        <w:rPr>
          <w:rFonts w:ascii="Times New Roman" w:hAnsi="Times New Roman"/>
          <w:sz w:val="24"/>
          <w:szCs w:val="24"/>
        </w:rPr>
      </w:pPr>
    </w:p>
    <w:p w:rsidR="00381408" w:rsidRDefault="00A327A9" w:rsidP="004108A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С Л О В И Я</w:t>
      </w:r>
    </w:p>
    <w:p w:rsidR="00DB4D88" w:rsidRDefault="00A327A9" w:rsidP="00DB4D8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которых осущест</w:t>
      </w:r>
      <w:r>
        <w:rPr>
          <w:rFonts w:ascii="Times New Roman" w:hAnsi="Times New Roman"/>
          <w:sz w:val="24"/>
          <w:szCs w:val="24"/>
        </w:rPr>
        <w:t>вляется поставка регулируемых товаров</w:t>
      </w:r>
    </w:p>
    <w:p w:rsidR="00F06424" w:rsidRDefault="00F06424" w:rsidP="00F06424">
      <w:pPr>
        <w:jc w:val="center"/>
        <w:rPr>
          <w:rFonts w:ascii="Times New Roman" w:hAnsi="Times New Roman"/>
          <w:sz w:val="24"/>
          <w:szCs w:val="24"/>
        </w:rPr>
      </w:pPr>
    </w:p>
    <w:p w:rsidR="001659CD" w:rsidRDefault="00A327A9" w:rsidP="001659CD">
      <w:pPr>
        <w:pStyle w:val="1"/>
        <w:shd w:val="clear" w:color="auto" w:fill="FFFFFF"/>
        <w:spacing w:before="0" w:beforeAutospacing="0" w:after="195" w:afterAutospacing="0"/>
        <w:textAlignment w:val="top"/>
        <w:rPr>
          <w:rFonts w:ascii="Arial" w:hAnsi="Arial" w:cs="Arial"/>
          <w:b w:val="0"/>
          <w:bCs w:val="0"/>
          <w:color w:val="182D88"/>
          <w:sz w:val="18"/>
          <w:szCs w:val="18"/>
        </w:rPr>
      </w:pPr>
      <w:r>
        <w:rPr>
          <w:rFonts w:ascii="Arial" w:hAnsi="Arial" w:cs="Arial"/>
          <w:b w:val="0"/>
          <w:bCs w:val="0"/>
          <w:color w:val="182D88"/>
          <w:sz w:val="18"/>
          <w:szCs w:val="18"/>
        </w:rPr>
        <w:t>Форма 1.17. Информация об условиях, на которых осуществляется поставка регулируемых товаров (работ, услуг) и (или) об условиях договоров об осуществлении технологического присоединения к электрическим сетям</w:t>
      </w:r>
    </w:p>
    <w:p w:rsidR="001659CD" w:rsidRDefault="00A327A9" w:rsidP="001659CD">
      <w:pPr>
        <w:shd w:val="clear" w:color="auto" w:fill="FFFFFF"/>
        <w:spacing w:before="98" w:after="98"/>
        <w:ind w:firstLine="709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000000"/>
          <w:sz w:val="26"/>
          <w:szCs w:val="26"/>
        </w:rPr>
        <w:t xml:space="preserve">* В </w:t>
      </w:r>
      <w:r>
        <w:rPr>
          <w:rFonts w:ascii="Arial" w:hAnsi="Arial" w:cs="Arial"/>
          <w:color w:val="000000"/>
          <w:sz w:val="26"/>
          <w:szCs w:val="26"/>
        </w:rPr>
        <w:t>соответствии с пунктом 12 Стандартов раскрытия информации раскрывается регулируемой организацией на её официальном сайте или на ином официальном сайте в сети Интернет, определяемом Правительством Российской Федерации, ежегодно, до  1 марта.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4012"/>
        <w:gridCol w:w="897"/>
        <w:gridCol w:w="3851"/>
      </w:tblGrid>
      <w:tr w:rsidR="00C27240" w:rsidTr="00390BB9">
        <w:trPr>
          <w:trHeight w:val="281"/>
        </w:trPr>
        <w:tc>
          <w:tcPr>
            <w:tcW w:w="48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CD" w:rsidRDefault="00A327A9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6"/>
                <w:szCs w:val="26"/>
              </w:rPr>
              <w:t xml:space="preserve">Наименование </w:t>
            </w:r>
            <w:r>
              <w:rPr>
                <w:color w:val="333333"/>
                <w:sz w:val="26"/>
                <w:szCs w:val="26"/>
              </w:rPr>
              <w:t>регулируемой организации</w:t>
            </w:r>
          </w:p>
        </w:tc>
        <w:tc>
          <w:tcPr>
            <w:tcW w:w="47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9CD" w:rsidRDefault="00A327A9">
            <w:pPr>
              <w:ind w:firstLine="709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6"/>
                <w:szCs w:val="26"/>
              </w:rPr>
              <w:t>Сибайский филиал АО «Учалинский ГОК»</w:t>
            </w:r>
          </w:p>
        </w:tc>
      </w:tr>
      <w:tr w:rsidR="00C27240" w:rsidTr="00390BB9">
        <w:trPr>
          <w:trHeight w:val="281"/>
        </w:trPr>
        <w:tc>
          <w:tcPr>
            <w:tcW w:w="48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CD" w:rsidRDefault="00A327A9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6"/>
                <w:szCs w:val="26"/>
              </w:rPr>
              <w:t>ИНН</w:t>
            </w:r>
          </w:p>
        </w:tc>
        <w:tc>
          <w:tcPr>
            <w:tcW w:w="47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9CD" w:rsidRDefault="00A327A9">
            <w:pPr>
              <w:ind w:firstLine="709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6"/>
                <w:szCs w:val="26"/>
              </w:rPr>
              <w:t>0270007455</w:t>
            </w:r>
          </w:p>
        </w:tc>
      </w:tr>
      <w:tr w:rsidR="00C27240" w:rsidTr="00390BB9">
        <w:trPr>
          <w:trHeight w:val="281"/>
        </w:trPr>
        <w:tc>
          <w:tcPr>
            <w:tcW w:w="48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CD" w:rsidRDefault="00A327A9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6"/>
                <w:szCs w:val="26"/>
              </w:rPr>
              <w:t>Местонахождение (фактический адрес)</w:t>
            </w:r>
          </w:p>
        </w:tc>
        <w:tc>
          <w:tcPr>
            <w:tcW w:w="47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9CD" w:rsidRDefault="00A327A9">
            <w:pPr>
              <w:ind w:firstLine="709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6"/>
                <w:szCs w:val="26"/>
              </w:rPr>
              <w:t>453833, республика Башкортостан, г.Сибай, ул.Горького, 54</w:t>
            </w:r>
          </w:p>
        </w:tc>
      </w:tr>
      <w:tr w:rsidR="00C27240" w:rsidTr="00390BB9">
        <w:trPr>
          <w:trHeight w:val="1363"/>
        </w:trPr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9CD" w:rsidRDefault="00A327A9">
            <w:pPr>
              <w:ind w:firstLine="709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6"/>
                <w:szCs w:val="26"/>
              </w:rPr>
              <w:t>Информация об условиях, на которых осуществляется</w:t>
            </w:r>
          </w:p>
          <w:p w:rsidR="001659CD" w:rsidRDefault="00A327A9">
            <w:pPr>
              <w:ind w:firstLine="709"/>
              <w:jc w:val="center"/>
              <w:rPr>
                <w:color w:val="333333"/>
              </w:rPr>
            </w:pPr>
            <w:r>
              <w:rPr>
                <w:b/>
                <w:bCs/>
                <w:color w:val="333333"/>
                <w:sz w:val="26"/>
                <w:szCs w:val="26"/>
              </w:rPr>
              <w:t xml:space="preserve">поставка регулируемых товаров </w:t>
            </w:r>
            <w:r>
              <w:rPr>
                <w:b/>
                <w:bCs/>
                <w:color w:val="333333"/>
                <w:sz w:val="26"/>
                <w:szCs w:val="26"/>
              </w:rPr>
              <w:t>(работ, услуг) и (или) об условиях</w:t>
            </w:r>
          </w:p>
          <w:p w:rsidR="001659CD" w:rsidRDefault="00A327A9">
            <w:pPr>
              <w:ind w:firstLine="709"/>
              <w:jc w:val="center"/>
              <w:rPr>
                <w:color w:val="333333"/>
              </w:rPr>
            </w:pPr>
            <w:r>
              <w:rPr>
                <w:b/>
                <w:bCs/>
                <w:color w:val="333333"/>
                <w:sz w:val="26"/>
                <w:szCs w:val="26"/>
              </w:rPr>
              <w:t>договоров об осуществлении технологического присоединения</w:t>
            </w:r>
          </w:p>
          <w:p w:rsidR="001659CD" w:rsidRDefault="00A327A9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6"/>
                <w:szCs w:val="26"/>
              </w:rPr>
              <w:t>к электрическим сетям</w:t>
            </w:r>
          </w:p>
        </w:tc>
      </w:tr>
      <w:tr w:rsidR="00C27240" w:rsidTr="00390BB9">
        <w:trPr>
          <w:trHeight w:val="468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CD" w:rsidRDefault="00A327A9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6"/>
                <w:szCs w:val="26"/>
              </w:rPr>
              <w:t>№ п/п</w:t>
            </w:r>
          </w:p>
        </w:tc>
        <w:tc>
          <w:tcPr>
            <w:tcW w:w="4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9CD" w:rsidRDefault="00A327A9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6"/>
                <w:szCs w:val="26"/>
              </w:rPr>
              <w:t>Договоры поставки регулируемых товаров (оказания регулируемых услуг)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9CD" w:rsidRDefault="00A327A9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6"/>
                <w:szCs w:val="26"/>
              </w:rPr>
              <w:t>Сведения о типовых формах договоров</w:t>
            </w:r>
          </w:p>
        </w:tc>
      </w:tr>
      <w:tr w:rsidR="00C27240" w:rsidTr="00390BB9">
        <w:trPr>
          <w:trHeight w:val="285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CD" w:rsidRDefault="00A327A9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4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9CD" w:rsidRDefault="00A327A9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6"/>
                <w:szCs w:val="26"/>
              </w:rPr>
              <w:t>2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9CD" w:rsidRDefault="00A327A9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6"/>
                <w:szCs w:val="26"/>
              </w:rPr>
              <w:t>3</w:t>
            </w:r>
          </w:p>
        </w:tc>
      </w:tr>
      <w:tr w:rsidR="00C27240" w:rsidTr="00390BB9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CD" w:rsidRDefault="00A327A9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6"/>
                <w:szCs w:val="26"/>
              </w:rPr>
              <w:t>1.</w:t>
            </w:r>
          </w:p>
        </w:tc>
        <w:tc>
          <w:tcPr>
            <w:tcW w:w="4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CD" w:rsidRDefault="00A327A9" w:rsidP="00390BB9">
            <w:pPr>
              <w:ind w:firstLine="34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6"/>
                <w:szCs w:val="26"/>
              </w:rPr>
              <w:t>Договор о</w:t>
            </w:r>
            <w:r w:rsidR="00390BB9">
              <w:rPr>
                <w:color w:val="333333"/>
                <w:sz w:val="26"/>
                <w:szCs w:val="26"/>
              </w:rPr>
              <w:t>казания услуг по передаче электрической энергии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CD" w:rsidRDefault="00A327A9">
            <w:pPr>
              <w:ind w:firstLine="34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6"/>
                <w:szCs w:val="26"/>
              </w:rPr>
              <w:t>№БЭ/1.7.2-66 от 15 мая 2018г.</w:t>
            </w:r>
          </w:p>
        </w:tc>
      </w:tr>
      <w:tr w:rsidR="00C27240" w:rsidTr="00390BB9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5" w:type="dxa"/>
              <w:left w:w="98" w:type="dxa"/>
              <w:bottom w:w="65" w:type="dxa"/>
              <w:right w:w="98" w:type="dxa"/>
            </w:tcMar>
            <w:vAlign w:val="center"/>
            <w:hideMark/>
          </w:tcPr>
          <w:p w:rsidR="001659CD" w:rsidRDefault="001659CD">
            <w:pPr>
              <w:rPr>
                <w:rFonts w:ascii="Arial" w:hAnsi="Arial" w:cs="Arial"/>
                <w:color w:val="333333"/>
                <w:sz w:val="1"/>
                <w:szCs w:val="9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5" w:type="dxa"/>
              <w:left w:w="98" w:type="dxa"/>
              <w:bottom w:w="65" w:type="dxa"/>
              <w:right w:w="98" w:type="dxa"/>
            </w:tcMar>
            <w:vAlign w:val="center"/>
            <w:hideMark/>
          </w:tcPr>
          <w:p w:rsidR="001659CD" w:rsidRDefault="001659CD">
            <w:pPr>
              <w:rPr>
                <w:rFonts w:ascii="Arial" w:hAnsi="Arial" w:cs="Arial"/>
                <w:color w:val="333333"/>
                <w:sz w:val="1"/>
                <w:szCs w:val="9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5" w:type="dxa"/>
              <w:left w:w="98" w:type="dxa"/>
              <w:bottom w:w="65" w:type="dxa"/>
              <w:right w:w="98" w:type="dxa"/>
            </w:tcMar>
            <w:vAlign w:val="center"/>
            <w:hideMark/>
          </w:tcPr>
          <w:p w:rsidR="001659CD" w:rsidRDefault="001659CD">
            <w:pPr>
              <w:rPr>
                <w:rFonts w:ascii="Arial" w:hAnsi="Arial" w:cs="Arial"/>
                <w:color w:val="333333"/>
                <w:sz w:val="1"/>
                <w:szCs w:val="9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5" w:type="dxa"/>
              <w:left w:w="98" w:type="dxa"/>
              <w:bottom w:w="65" w:type="dxa"/>
              <w:right w:w="98" w:type="dxa"/>
            </w:tcMar>
            <w:vAlign w:val="center"/>
            <w:hideMark/>
          </w:tcPr>
          <w:p w:rsidR="001659CD" w:rsidRDefault="001659CD">
            <w:pPr>
              <w:rPr>
                <w:rFonts w:ascii="Arial" w:hAnsi="Arial" w:cs="Arial"/>
                <w:color w:val="333333"/>
                <w:sz w:val="1"/>
                <w:szCs w:val="9"/>
              </w:rPr>
            </w:pPr>
          </w:p>
        </w:tc>
      </w:tr>
    </w:tbl>
    <w:p w:rsidR="00390BB9" w:rsidRDefault="00390BB9" w:rsidP="001659CD">
      <w:pPr>
        <w:shd w:val="clear" w:color="auto" w:fill="FFFFFF"/>
        <w:spacing w:before="98" w:after="98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1659CD" w:rsidRDefault="00A327A9" w:rsidP="001659CD">
      <w:pPr>
        <w:shd w:val="clear" w:color="auto" w:fill="FFFFFF"/>
        <w:spacing w:before="98" w:after="98"/>
        <w:ind w:firstLine="709"/>
        <w:jc w:val="both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2. Информация об условиях договора о возмездном оказании услуг по передаче электрической энергии раскрывается регулируемой организацией в соответствии с таблицей 5.</w:t>
      </w:r>
    </w:p>
    <w:p w:rsidR="001659CD" w:rsidRDefault="00A327A9" w:rsidP="001659CD">
      <w:pPr>
        <w:shd w:val="clear" w:color="auto" w:fill="FFFFFF"/>
        <w:spacing w:before="98" w:after="98"/>
        <w:ind w:firstLine="709"/>
        <w:jc w:val="right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000000"/>
          <w:sz w:val="26"/>
          <w:szCs w:val="26"/>
        </w:rPr>
        <w:t>Таблица 5</w:t>
      </w:r>
    </w:p>
    <w:p w:rsidR="001659CD" w:rsidRDefault="00A327A9" w:rsidP="001659CD">
      <w:pPr>
        <w:shd w:val="clear" w:color="auto" w:fill="FFFFFF"/>
        <w:spacing w:before="98" w:after="98"/>
        <w:jc w:val="center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Информация об условиях договора</w:t>
      </w:r>
    </w:p>
    <w:p w:rsidR="001659CD" w:rsidRDefault="00A327A9" w:rsidP="001659CD">
      <w:pPr>
        <w:shd w:val="clear" w:color="auto" w:fill="FFFFFF"/>
        <w:spacing w:before="98" w:after="98"/>
        <w:jc w:val="center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о возмездном оказании услуг по передаче электрической энергии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C27240" w:rsidTr="001659CD">
        <w:trPr>
          <w:trHeight w:val="626"/>
        </w:trPr>
        <w:tc>
          <w:tcPr>
            <w:tcW w:w="10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9CD" w:rsidRDefault="00A327A9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6"/>
                <w:szCs w:val="26"/>
              </w:rPr>
              <w:t>Договор о возмездном оказании услуг по передаче электрической энергии</w:t>
            </w:r>
          </w:p>
        </w:tc>
      </w:tr>
      <w:tr w:rsidR="00C27240" w:rsidTr="001659CD">
        <w:tc>
          <w:tcPr>
            <w:tcW w:w="10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CD" w:rsidRDefault="00A327A9">
            <w:pPr>
              <w:pStyle w:val="consplusnormal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333333"/>
                <w:sz w:val="9"/>
                <w:szCs w:val="9"/>
              </w:rPr>
            </w:pPr>
            <w:r>
              <w:rPr>
                <w:color w:val="333333"/>
                <w:sz w:val="26"/>
                <w:szCs w:val="26"/>
              </w:rPr>
              <w:t>В соответствии с пунктом 13 Правил недискриминационного</w:t>
            </w:r>
            <w:r>
              <w:rPr>
                <w:color w:val="333333"/>
                <w:sz w:val="26"/>
                <w:szCs w:val="26"/>
              </w:rPr>
              <w:t xml:space="preserve"> доступа к услугам по передаче электрической энергии и оказания этих услуг, утвержденных постановлением Правительства Российской Федерации от 27.12.2004 № 861 (опубликовано в изданиях: «Собрание законодательства РФ», 27.12.2004, № 52 (часть 2), ст. 5525; «</w:t>
            </w:r>
            <w:r>
              <w:rPr>
                <w:color w:val="333333"/>
                <w:sz w:val="26"/>
                <w:szCs w:val="26"/>
              </w:rPr>
              <w:t>Российская газета», № 7, 19.01.2005) (далее – Правила недискриминационного доступа), договор о возмездном оказании услуг по передаче электрической энергии содержит следующие существенные условия:</w:t>
            </w:r>
          </w:p>
          <w:p w:rsidR="001659CD" w:rsidRDefault="00A327A9">
            <w:pPr>
              <w:pStyle w:val="consplusnormal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333333"/>
                <w:sz w:val="9"/>
                <w:szCs w:val="9"/>
              </w:rPr>
            </w:pPr>
            <w:r>
              <w:rPr>
                <w:color w:val="333333"/>
                <w:sz w:val="26"/>
                <w:szCs w:val="26"/>
              </w:rPr>
              <w:t>а) величина максимальной мощности энергопринимающих устройст</w:t>
            </w:r>
            <w:r>
              <w:rPr>
                <w:color w:val="333333"/>
                <w:sz w:val="26"/>
                <w:szCs w:val="26"/>
              </w:rPr>
              <w:t>в, технологически присоединенных в установленном законодательством Российской Федерации порядке к электрической сети, определенная в соответствии с </w:t>
            </w:r>
            <w:hyperlink r:id="rId6" w:history="1">
              <w:r>
                <w:rPr>
                  <w:rStyle w:val="a5"/>
                  <w:sz w:val="26"/>
                  <w:szCs w:val="26"/>
                </w:rPr>
                <w:t>пунктом 13(1)</w:t>
              </w:r>
            </w:hyperlink>
            <w:r>
              <w:rPr>
                <w:color w:val="333333"/>
                <w:sz w:val="26"/>
                <w:szCs w:val="26"/>
              </w:rPr>
              <w:t> Правил недискриминационного доступа, с распределением указанной величины по каждой точке поставки;</w:t>
            </w:r>
          </w:p>
          <w:p w:rsidR="001659CD" w:rsidRDefault="00A327A9">
            <w:pPr>
              <w:pStyle w:val="consplusnormal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333333"/>
                <w:sz w:val="9"/>
                <w:szCs w:val="9"/>
              </w:rPr>
            </w:pPr>
            <w:r>
              <w:rPr>
                <w:color w:val="333333"/>
                <w:sz w:val="26"/>
                <w:szCs w:val="26"/>
              </w:rPr>
              <w:t>б) порядок определения размера обязательств потребителя услуг по оплате услуг по передаче электрической энергии в соотве</w:t>
            </w:r>
            <w:r>
              <w:rPr>
                <w:color w:val="333333"/>
                <w:sz w:val="26"/>
                <w:szCs w:val="26"/>
              </w:rPr>
              <w:t>тствии с </w:t>
            </w:r>
            <w:hyperlink r:id="rId7" w:history="1">
              <w:r>
                <w:rPr>
                  <w:rStyle w:val="a5"/>
                  <w:sz w:val="26"/>
                  <w:szCs w:val="26"/>
                </w:rPr>
                <w:t>пунктом 15(1)</w:t>
              </w:r>
            </w:hyperlink>
            <w:r>
              <w:rPr>
                <w:color w:val="333333"/>
                <w:sz w:val="26"/>
                <w:szCs w:val="26"/>
              </w:rPr>
              <w:t> Правил недискриминационного доступа, включающий:</w:t>
            </w:r>
          </w:p>
          <w:p w:rsidR="001659CD" w:rsidRDefault="00A327A9">
            <w:pPr>
              <w:pStyle w:val="consplusnormal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333333"/>
                <w:sz w:val="9"/>
                <w:szCs w:val="9"/>
              </w:rPr>
            </w:pPr>
            <w:r>
              <w:rPr>
                <w:color w:val="333333"/>
                <w:sz w:val="26"/>
                <w:szCs w:val="26"/>
              </w:rPr>
              <w:t xml:space="preserve">сведения об объеме электрической энергии (мощности), </w:t>
            </w:r>
            <w:r>
              <w:rPr>
                <w:color w:val="333333"/>
                <w:sz w:val="26"/>
                <w:szCs w:val="26"/>
              </w:rPr>
              <w:t>используемом для определения размера обязательств, или порядок определения такого объема;</w:t>
            </w:r>
          </w:p>
          <w:p w:rsidR="001659CD" w:rsidRDefault="00A327A9">
            <w:pPr>
              <w:pStyle w:val="consplusnormal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333333"/>
                <w:sz w:val="9"/>
                <w:szCs w:val="9"/>
              </w:rPr>
            </w:pPr>
            <w:r>
              <w:rPr>
                <w:color w:val="333333"/>
                <w:sz w:val="26"/>
                <w:szCs w:val="26"/>
              </w:rPr>
              <w:t>порядок расчета стоимости услуг сетевой организации по передаче электрической энергии;*</w:t>
            </w:r>
          </w:p>
          <w:p w:rsidR="001659CD" w:rsidRDefault="00A327A9">
            <w:pPr>
              <w:pStyle w:val="consplusnormal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333333"/>
                <w:sz w:val="9"/>
                <w:szCs w:val="9"/>
              </w:rPr>
            </w:pPr>
            <w:r>
              <w:rPr>
                <w:color w:val="333333"/>
                <w:sz w:val="26"/>
                <w:szCs w:val="26"/>
              </w:rPr>
              <w:t>в) ответственность потребителя услуг и сетевой организации за состояние и обсл</w:t>
            </w:r>
            <w:r>
              <w:rPr>
                <w:color w:val="333333"/>
                <w:sz w:val="26"/>
                <w:szCs w:val="26"/>
              </w:rPr>
              <w:t>уживание объектов электросетевого хозяйства, которая определяется балансовой принадлежностью сетевой организации и потребителя услуг (потребителя электрической энергии, в интересах которого заключается договор) и фиксируется в акте разграничения балансовой</w:t>
            </w:r>
            <w:r>
              <w:rPr>
                <w:color w:val="333333"/>
                <w:sz w:val="26"/>
                <w:szCs w:val="26"/>
              </w:rPr>
              <w:t xml:space="preserve"> принадлежности электросетей и акте эксплуатационной ответственности сторон, являющихся приложениями к договору;</w:t>
            </w:r>
          </w:p>
          <w:p w:rsidR="001659CD" w:rsidRDefault="00A327A9">
            <w:pPr>
              <w:pStyle w:val="consplusnormal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333333"/>
                <w:sz w:val="9"/>
                <w:szCs w:val="9"/>
              </w:rPr>
            </w:pPr>
            <w:r>
              <w:rPr>
                <w:color w:val="333333"/>
                <w:sz w:val="26"/>
                <w:szCs w:val="26"/>
              </w:rPr>
              <w:t>г) сведения о приборах учета электрической энергии (мощности), установленных на дату заключения договора в отношении энергопринимающих устройст</w:t>
            </w:r>
            <w:r>
              <w:rPr>
                <w:color w:val="333333"/>
                <w:sz w:val="26"/>
                <w:szCs w:val="26"/>
              </w:rPr>
              <w:t>в, объектов электроэнергетики и используемых для расчетов по договору, с указанием мест их установки, заводских номеров, даты предыдущей и очередной поверки, межповерочного интервала;</w:t>
            </w:r>
          </w:p>
          <w:p w:rsidR="001659CD" w:rsidRDefault="00A327A9">
            <w:pPr>
              <w:pStyle w:val="consplusnormal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333333"/>
                <w:sz w:val="9"/>
                <w:szCs w:val="9"/>
              </w:rPr>
            </w:pPr>
            <w:r>
              <w:rPr>
                <w:color w:val="333333"/>
                <w:sz w:val="26"/>
                <w:szCs w:val="26"/>
              </w:rPr>
              <w:t>д) обязанность потребителя услуг по обеспечению установки и допуску в эк</w:t>
            </w:r>
            <w:r>
              <w:rPr>
                <w:color w:val="333333"/>
                <w:sz w:val="26"/>
                <w:szCs w:val="26"/>
              </w:rPr>
              <w:t>сплуатацию приборов учета, соответствующих установленным законодательством Российской Федерации требованиям (в отношении энергопринимающих устройств (объектов электроэнергетики), которые на дату заключения договора не оборудованы приборами учета, либо в сл</w:t>
            </w:r>
            <w:r>
              <w:rPr>
                <w:color w:val="333333"/>
                <w:sz w:val="26"/>
                <w:szCs w:val="26"/>
              </w:rPr>
              <w:t>учае если установленные приборы учета не соответствуют требованиям законодательства Российской Федерации);</w:t>
            </w:r>
          </w:p>
          <w:p w:rsidR="001659CD" w:rsidRDefault="00A327A9">
            <w:pPr>
              <w:pStyle w:val="consplusnormal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333333"/>
                <w:sz w:val="9"/>
                <w:szCs w:val="9"/>
              </w:rPr>
            </w:pPr>
            <w:r>
              <w:rPr>
                <w:color w:val="333333"/>
                <w:sz w:val="26"/>
                <w:szCs w:val="26"/>
              </w:rPr>
              <w:lastRenderedPageBreak/>
              <w:t>е) обязанность потребителя услуг, энергопринимающие устройства которого подключены к системам противоаварийной и режимной автоматики, установленным в</w:t>
            </w:r>
            <w:r>
              <w:rPr>
                <w:color w:val="333333"/>
                <w:sz w:val="26"/>
                <w:szCs w:val="26"/>
              </w:rPr>
              <w:t xml:space="preserve"> соответствии с </w:t>
            </w:r>
            <w:hyperlink r:id="rId8" w:history="1">
              <w:r>
                <w:rPr>
                  <w:rStyle w:val="a5"/>
                  <w:sz w:val="26"/>
                  <w:szCs w:val="26"/>
                </w:rPr>
                <w:t>Правилами</w:t>
              </w:r>
            </w:hyperlink>
            <w:r>
              <w:rPr>
                <w:color w:val="333333"/>
                <w:sz w:val="26"/>
                <w:szCs w:val="26"/>
              </w:rPr>
              <w:t> технологического присоединения энергопринимающих устройств потребителей электрической энергии, объе</w:t>
            </w:r>
            <w:r>
              <w:rPr>
                <w:color w:val="333333"/>
                <w:sz w:val="26"/>
                <w:szCs w:val="26"/>
              </w:rPr>
              <w:t>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27.12.2004 № 861, или Правила</w:t>
            </w:r>
            <w:r>
              <w:rPr>
                <w:color w:val="333333"/>
                <w:sz w:val="26"/>
                <w:szCs w:val="26"/>
              </w:rPr>
              <w:t xml:space="preserve">ми недискриминационного доступа, и находятся под их воздействием, по обеспечению эксплуатации принадлежащих ему на праве собственности или ином законном основании систем противоаварийной и режимной автоматики, а также по обеспечению возможности реализации </w:t>
            </w:r>
            <w:r>
              <w:rPr>
                <w:color w:val="333333"/>
                <w:sz w:val="26"/>
                <w:szCs w:val="26"/>
              </w:rPr>
              <w:t>такого воздействия систем противоаварийной и режимной автоматики в соответствии с требованиями субъекта оперативно-диспетчерского управления в электроэнергетике и сетевой организации.</w:t>
            </w:r>
          </w:p>
          <w:p w:rsidR="001659CD" w:rsidRDefault="00A327A9">
            <w:pPr>
              <w:pStyle w:val="consplusnormal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333333"/>
                <w:sz w:val="9"/>
                <w:szCs w:val="9"/>
              </w:rPr>
            </w:pPr>
            <w:r>
              <w:rPr>
                <w:color w:val="333333"/>
                <w:sz w:val="26"/>
                <w:szCs w:val="26"/>
              </w:rPr>
              <w:t>В соответствии с пунктом 31(5) Правил недискриминационного доступа в дог</w:t>
            </w:r>
            <w:r>
              <w:rPr>
                <w:color w:val="333333"/>
                <w:sz w:val="26"/>
                <w:szCs w:val="26"/>
              </w:rPr>
              <w:t>овор включаются условия, соответствующие установленной документами о технологическом присоединении категории надежности энергопринимающих устройств, в отношении которых заключен договор.</w:t>
            </w:r>
          </w:p>
          <w:p w:rsidR="001659CD" w:rsidRDefault="00A327A9">
            <w:pPr>
              <w:ind w:firstLine="709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color w:val="333333"/>
                <w:sz w:val="26"/>
                <w:szCs w:val="26"/>
              </w:rPr>
              <w:t>В соответствии с пунктом 31(3) Правил недискриминационного доступа пр</w:t>
            </w:r>
            <w:r>
              <w:rPr>
                <w:color w:val="333333"/>
                <w:sz w:val="26"/>
                <w:szCs w:val="26"/>
              </w:rPr>
              <w:t>иложением к договору является Акт технологической и (или) аварийной брони.</w:t>
            </w:r>
          </w:p>
          <w:p w:rsidR="001659CD" w:rsidRDefault="00A327A9">
            <w:pPr>
              <w:ind w:firstLine="709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6"/>
                <w:szCs w:val="26"/>
              </w:rPr>
              <w:t>Обязанности потребителя и сетевой организации при исполнении договора предусмотрены пунктами 14 и 15 Правил недискриминационного доступа.</w:t>
            </w:r>
          </w:p>
        </w:tc>
      </w:tr>
    </w:tbl>
    <w:p w:rsidR="001659CD" w:rsidRDefault="00A327A9" w:rsidP="001659CD">
      <w:pPr>
        <w:shd w:val="clear" w:color="auto" w:fill="FFFFFF"/>
        <w:spacing w:before="98" w:after="98"/>
        <w:ind w:firstLine="709"/>
        <w:jc w:val="both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 xml:space="preserve">* В соответствии с пунктом 15(1) Правил </w:t>
      </w:r>
      <w:r>
        <w:rPr>
          <w:rFonts w:ascii="Arial" w:hAnsi="Arial" w:cs="Arial"/>
          <w:color w:val="000000"/>
          <w:sz w:val="26"/>
          <w:szCs w:val="26"/>
        </w:rPr>
        <w:t>недискриминационного доступа стоимость услуг по передаче электрической энергии определяется исходя из тарифа на услуги по передаче электрической энергии, определяемого в соответствии с разделом </w:t>
      </w:r>
      <w:r>
        <w:rPr>
          <w:rFonts w:ascii="Arial" w:hAnsi="Arial" w:cs="Arial"/>
          <w:color w:val="000000"/>
          <w:sz w:val="26"/>
          <w:szCs w:val="26"/>
          <w:lang w:val="en-US"/>
        </w:rPr>
        <w:t>V</w:t>
      </w:r>
      <w:r w:rsidRPr="001659CD">
        <w:rPr>
          <w:rFonts w:ascii="Arial" w:hAnsi="Arial" w:cs="Arial"/>
          <w:color w:val="000000"/>
          <w:sz w:val="26"/>
          <w:szCs w:val="26"/>
        </w:rPr>
        <w:t xml:space="preserve"> Правил недискриминационного доступа, и объема оказанных услу</w:t>
      </w:r>
      <w:r w:rsidRPr="001659CD">
        <w:rPr>
          <w:rFonts w:ascii="Arial" w:hAnsi="Arial" w:cs="Arial"/>
          <w:color w:val="000000"/>
          <w:sz w:val="26"/>
          <w:szCs w:val="26"/>
        </w:rPr>
        <w:t>г по передаче электрической энергии.</w:t>
      </w:r>
    </w:p>
    <w:p w:rsidR="001659CD" w:rsidRDefault="00A327A9" w:rsidP="001659CD">
      <w:pPr>
        <w:shd w:val="clear" w:color="auto" w:fill="FFFFFF"/>
        <w:spacing w:before="98" w:after="98"/>
        <w:ind w:firstLine="709"/>
        <w:jc w:val="both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000000"/>
          <w:sz w:val="26"/>
          <w:szCs w:val="26"/>
        </w:rPr>
        <w:t>В соответствии с пунктом 15(2) Правил недискриминационного доступа оплата услуг по передаче электрической энергии, если иное не установлено соглашением сторон, должна осуществляться в следующие сроки:</w:t>
      </w:r>
    </w:p>
    <w:p w:rsidR="001659CD" w:rsidRDefault="00A327A9" w:rsidP="001659CD">
      <w:pPr>
        <w:shd w:val="clear" w:color="auto" w:fill="FFFFFF"/>
        <w:spacing w:before="98" w:after="98"/>
        <w:ind w:firstLine="709"/>
        <w:jc w:val="both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000000"/>
          <w:sz w:val="26"/>
          <w:szCs w:val="26"/>
        </w:rPr>
        <w:t>а) гарантирующие п</w:t>
      </w:r>
      <w:r>
        <w:rPr>
          <w:rFonts w:ascii="Arial" w:hAnsi="Arial" w:cs="Arial"/>
          <w:color w:val="000000"/>
          <w:sz w:val="26"/>
          <w:szCs w:val="26"/>
        </w:rPr>
        <w:t>оставщики оплачивают услуги по передаче электрической энергии, оказываемые в интересах обслуживаемых ими потребителей, до 15-го числа месяца, следующего за расчетным;</w:t>
      </w:r>
    </w:p>
    <w:p w:rsidR="001659CD" w:rsidRDefault="00A327A9" w:rsidP="001659CD">
      <w:pPr>
        <w:shd w:val="clear" w:color="auto" w:fill="FFFFFF"/>
        <w:spacing w:before="98" w:after="98"/>
        <w:ind w:firstLine="709"/>
        <w:jc w:val="both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000000"/>
          <w:sz w:val="26"/>
          <w:szCs w:val="26"/>
        </w:rPr>
        <w:t>б) иные потребители услуг по передаче электрической энергии (за исключением населения) оп</w:t>
      </w:r>
      <w:r>
        <w:rPr>
          <w:rFonts w:ascii="Arial" w:hAnsi="Arial" w:cs="Arial"/>
          <w:color w:val="000000"/>
          <w:sz w:val="26"/>
          <w:szCs w:val="26"/>
        </w:rPr>
        <w:t>лачивают услуги по передаче электрической энергии с учетом авансовых платежей.</w:t>
      </w:r>
    </w:p>
    <w:p w:rsidR="001659CD" w:rsidRDefault="00A327A9" w:rsidP="001659CD">
      <w:pPr>
        <w:pStyle w:val="consplusnormal"/>
        <w:shd w:val="clear" w:color="auto" w:fill="FFFFFF"/>
        <w:spacing w:before="98" w:beforeAutospacing="0" w:after="98" w:afterAutospacing="0"/>
        <w:jc w:val="right"/>
        <w:rPr>
          <w:rFonts w:ascii="Arial" w:hAnsi="Arial" w:cs="Arial"/>
          <w:color w:val="000000"/>
          <w:sz w:val="9"/>
          <w:szCs w:val="9"/>
        </w:rPr>
      </w:pPr>
      <w:r>
        <w:rPr>
          <w:color w:val="000000"/>
        </w:rPr>
        <w:t>Таблица 6</w:t>
      </w:r>
    </w:p>
    <w:p w:rsidR="001659CD" w:rsidRDefault="00A327A9" w:rsidP="001659CD">
      <w:pPr>
        <w:pStyle w:val="consplusnormal"/>
        <w:shd w:val="clear" w:color="auto" w:fill="FFFFFF"/>
        <w:spacing w:before="98" w:beforeAutospacing="0" w:after="98" w:afterAutospacing="0"/>
        <w:jc w:val="center"/>
        <w:rPr>
          <w:rFonts w:ascii="Arial" w:hAnsi="Arial" w:cs="Arial"/>
          <w:color w:val="000000"/>
          <w:sz w:val="9"/>
          <w:szCs w:val="9"/>
        </w:rPr>
      </w:pPr>
      <w:bookmarkStart w:id="1" w:name="P1246"/>
      <w:bookmarkEnd w:id="1"/>
      <w:r>
        <w:rPr>
          <w:b/>
          <w:bCs/>
          <w:color w:val="000000"/>
        </w:rPr>
        <w:t>Информация об условиях договора об осуществлении</w:t>
      </w:r>
    </w:p>
    <w:p w:rsidR="001659CD" w:rsidRDefault="00A327A9" w:rsidP="001659CD">
      <w:pPr>
        <w:pStyle w:val="consplusnormal"/>
        <w:shd w:val="clear" w:color="auto" w:fill="FFFFFF"/>
        <w:spacing w:before="98" w:beforeAutospacing="0" w:after="98" w:afterAutospacing="0"/>
        <w:jc w:val="center"/>
        <w:rPr>
          <w:rFonts w:ascii="Arial" w:hAnsi="Arial" w:cs="Arial"/>
          <w:color w:val="000000"/>
          <w:sz w:val="9"/>
          <w:szCs w:val="9"/>
        </w:rPr>
      </w:pPr>
      <w:r>
        <w:rPr>
          <w:b/>
          <w:bCs/>
          <w:color w:val="000000"/>
        </w:rPr>
        <w:t>технологического присоединения к электрическим сетям</w:t>
      </w:r>
    </w:p>
    <w:tbl>
      <w:tblPr>
        <w:tblW w:w="9645" w:type="dxa"/>
        <w:tblInd w:w="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C27240" w:rsidTr="001659CD">
        <w:tc>
          <w:tcPr>
            <w:tcW w:w="9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59CD" w:rsidRDefault="00A327A9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9"/>
                <w:szCs w:val="9"/>
              </w:rPr>
            </w:pPr>
            <w:r>
              <w:rPr>
                <w:b/>
                <w:bCs/>
                <w:color w:val="333333"/>
              </w:rPr>
              <w:lastRenderedPageBreak/>
              <w:t>Договор об осуществлении технологического присоединения к электри</w:t>
            </w:r>
            <w:r>
              <w:rPr>
                <w:b/>
                <w:bCs/>
                <w:color w:val="333333"/>
              </w:rPr>
              <w:t>ческим сетям</w:t>
            </w:r>
          </w:p>
        </w:tc>
      </w:tr>
      <w:tr w:rsidR="00C27240" w:rsidTr="001659CD">
        <w:tc>
          <w:tcPr>
            <w:tcW w:w="96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59CD" w:rsidRDefault="00A327A9">
            <w:pPr>
              <w:pStyle w:val="consplusnormal"/>
              <w:spacing w:before="0" w:beforeAutospacing="0" w:after="0" w:afterAutospacing="0"/>
              <w:ind w:firstLine="568"/>
              <w:jc w:val="both"/>
              <w:rPr>
                <w:rFonts w:ascii="Arial" w:hAnsi="Arial" w:cs="Arial"/>
                <w:color w:val="333333"/>
                <w:sz w:val="9"/>
                <w:szCs w:val="9"/>
              </w:rPr>
            </w:pPr>
            <w:r>
              <w:rPr>
                <w:color w:val="333333"/>
              </w:rPr>
              <w:t>В соответствии с </w:t>
            </w:r>
            <w:hyperlink r:id="rId9" w:history="1">
              <w:r>
                <w:rPr>
                  <w:rStyle w:val="a5"/>
                </w:rPr>
                <w:t>пунктом 16</w:t>
              </w:r>
            </w:hyperlink>
            <w:r>
              <w:rPr>
                <w:color w:val="333333"/>
              </w:rPr>
              <w:t> Правил технологического присоединения энергопринимающих</w:t>
            </w:r>
            <w:r>
              <w:rPr>
                <w:color w:val="333333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</w:t>
            </w:r>
            <w:r>
              <w:rPr>
                <w:color w:val="333333"/>
              </w:rPr>
              <w:t>сийской Федерации от 27.12.2004 N 861 (далее - Правила технологического присоединения), договор об осуществлении технологического присоединения к электрическим сетям содержит следующие существенные условия:</w:t>
            </w:r>
          </w:p>
          <w:p w:rsidR="001659CD" w:rsidRDefault="00A327A9">
            <w:pPr>
              <w:pStyle w:val="consplusnormal"/>
              <w:spacing w:before="0" w:beforeAutospacing="0" w:after="0" w:afterAutospacing="0"/>
              <w:ind w:firstLine="568"/>
              <w:rPr>
                <w:rFonts w:ascii="Arial" w:hAnsi="Arial" w:cs="Arial"/>
                <w:color w:val="333333"/>
                <w:sz w:val="9"/>
                <w:szCs w:val="9"/>
              </w:rPr>
            </w:pPr>
            <w:r>
              <w:rPr>
                <w:color w:val="333333"/>
              </w:rPr>
              <w:t>а) перечень мероприятий по технологическому присо</w:t>
            </w:r>
            <w:r>
              <w:rPr>
                <w:color w:val="333333"/>
              </w:rPr>
              <w:t>единению (определяется в технических условиях, являющихся неотъемлемой частью договора) и обязательства сторон по их выполнению;</w:t>
            </w:r>
          </w:p>
          <w:p w:rsidR="001659CD" w:rsidRDefault="00A327A9">
            <w:pPr>
              <w:pStyle w:val="consplusnormal"/>
              <w:spacing w:before="0" w:beforeAutospacing="0" w:after="0" w:afterAutospacing="0"/>
              <w:ind w:firstLine="568"/>
              <w:rPr>
                <w:rFonts w:ascii="Arial" w:hAnsi="Arial" w:cs="Arial"/>
                <w:color w:val="333333"/>
                <w:sz w:val="9"/>
                <w:szCs w:val="9"/>
              </w:rPr>
            </w:pPr>
            <w:r>
              <w:rPr>
                <w:color w:val="333333"/>
              </w:rPr>
              <w:t xml:space="preserve">б) срок осуществления мероприятий по технологическому присоединению, который исчисляется со дня заключения договора и не может </w:t>
            </w:r>
            <w:r>
              <w:rPr>
                <w:color w:val="333333"/>
              </w:rPr>
              <w:t>превышать:</w:t>
            </w:r>
          </w:p>
          <w:p w:rsidR="001659CD" w:rsidRDefault="00A327A9">
            <w:pPr>
              <w:pStyle w:val="consplusnormal"/>
              <w:spacing w:before="0" w:beforeAutospacing="0" w:after="0" w:afterAutospacing="0"/>
              <w:ind w:firstLine="568"/>
              <w:jc w:val="both"/>
              <w:rPr>
                <w:rFonts w:ascii="Arial" w:hAnsi="Arial" w:cs="Arial"/>
                <w:color w:val="333333"/>
                <w:sz w:val="9"/>
                <w:szCs w:val="9"/>
              </w:rPr>
            </w:pPr>
            <w:r>
              <w:rPr>
                <w:color w:val="333333"/>
              </w:rPr>
              <w:t>в случаях осуществления технологического присоединения к электрическим сетям классом напряжения до 20 кВ включительно, при этом расстояние от существующих электрических сетей необходимого класса напряжения до границ участка, на котором расположе</w:t>
            </w:r>
            <w:r>
              <w:rPr>
                <w:color w:val="333333"/>
              </w:rPr>
              <w:t xml:space="preserve">ны присоединяемые энергопринимающие устройства,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(реконструкции) объектов </w:t>
            </w:r>
            <w:r>
              <w:rPr>
                <w:color w:val="333333"/>
              </w:rPr>
              <w:t>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</w:t>
            </w:r>
            <w:r>
              <w:rPr>
                <w:color w:val="333333"/>
              </w:rPr>
              <w:t>ектросетевого хозяйства от существующих объектов электросетевого хозяйства до присоединяемых энергопринимающих устройств и (или) объектов электроэнергетики:</w:t>
            </w:r>
          </w:p>
        </w:tc>
      </w:tr>
      <w:tr w:rsidR="00C27240" w:rsidTr="001659CD">
        <w:tc>
          <w:tcPr>
            <w:tcW w:w="96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59CD" w:rsidRDefault="00A327A9">
            <w:pPr>
              <w:pStyle w:val="consplusnormal"/>
              <w:spacing w:before="0" w:beforeAutospacing="0" w:after="0" w:afterAutospacing="0"/>
              <w:ind w:firstLine="568"/>
              <w:jc w:val="both"/>
              <w:rPr>
                <w:rFonts w:ascii="Arial" w:hAnsi="Arial" w:cs="Arial"/>
                <w:color w:val="333333"/>
                <w:sz w:val="9"/>
                <w:szCs w:val="9"/>
              </w:rPr>
            </w:pPr>
            <w:r>
              <w:rPr>
                <w:color w:val="333333"/>
              </w:rPr>
              <w:t>15 рабочих дней (если в заявке не указан более продолжительный срок) для осуществления мероприятий</w:t>
            </w:r>
            <w:r>
              <w:rPr>
                <w:color w:val="333333"/>
              </w:rPr>
              <w:t xml:space="preserve"> по технологическому присоединению, отнесенных к обязанностям сетевой организации, - при временном технологическом присоединении;</w:t>
            </w:r>
          </w:p>
          <w:p w:rsidR="001659CD" w:rsidRDefault="00A327A9">
            <w:pPr>
              <w:pStyle w:val="consplusnormal"/>
              <w:spacing w:before="0" w:beforeAutospacing="0" w:after="0" w:afterAutospacing="0"/>
              <w:ind w:firstLine="568"/>
              <w:rPr>
                <w:rFonts w:ascii="Arial" w:hAnsi="Arial" w:cs="Arial"/>
                <w:color w:val="333333"/>
                <w:sz w:val="9"/>
                <w:szCs w:val="9"/>
              </w:rPr>
            </w:pPr>
            <w:r>
              <w:rPr>
                <w:color w:val="333333"/>
              </w:rPr>
              <w:t>4 месяца - для заявителей, максимальная мощность энергопринимающих устройств которых составляет до 670 кВт включительно;</w:t>
            </w:r>
          </w:p>
          <w:p w:rsidR="001659CD" w:rsidRDefault="00A327A9">
            <w:pPr>
              <w:pStyle w:val="consplusnormal"/>
              <w:spacing w:before="0" w:beforeAutospacing="0" w:after="0" w:afterAutospacing="0"/>
              <w:ind w:firstLine="568"/>
              <w:rPr>
                <w:rFonts w:ascii="Arial" w:hAnsi="Arial" w:cs="Arial"/>
                <w:color w:val="333333"/>
                <w:sz w:val="9"/>
                <w:szCs w:val="9"/>
              </w:rPr>
            </w:pPr>
            <w:r>
              <w:rPr>
                <w:color w:val="333333"/>
              </w:rPr>
              <w:t>1 год - для заявителей, максимальная мощность энергопринимающих устройств которых составляет свыше 670 кВт;</w:t>
            </w:r>
          </w:p>
          <w:p w:rsidR="001659CD" w:rsidRDefault="00A327A9">
            <w:pPr>
              <w:pStyle w:val="consplusnormal"/>
              <w:spacing w:before="0" w:beforeAutospacing="0" w:after="0" w:afterAutospacing="0"/>
              <w:ind w:firstLine="568"/>
              <w:rPr>
                <w:rFonts w:ascii="Arial" w:hAnsi="Arial" w:cs="Arial"/>
                <w:color w:val="333333"/>
                <w:sz w:val="9"/>
                <w:szCs w:val="9"/>
              </w:rPr>
            </w:pPr>
            <w:r>
              <w:rPr>
                <w:color w:val="333333"/>
              </w:rPr>
              <w:t>в иных случаях:</w:t>
            </w:r>
          </w:p>
          <w:p w:rsidR="001659CD" w:rsidRDefault="00A327A9">
            <w:pPr>
              <w:pStyle w:val="consplusnormal"/>
              <w:spacing w:before="0" w:beforeAutospacing="0" w:after="0" w:afterAutospacing="0"/>
              <w:ind w:firstLine="568"/>
              <w:jc w:val="both"/>
              <w:rPr>
                <w:rFonts w:ascii="Arial" w:hAnsi="Arial" w:cs="Arial"/>
                <w:color w:val="333333"/>
                <w:sz w:val="9"/>
                <w:szCs w:val="9"/>
              </w:rPr>
            </w:pPr>
            <w:r>
              <w:rPr>
                <w:color w:val="333333"/>
              </w:rPr>
              <w:t xml:space="preserve">15 рабочих дней (если в заявке не указан более продолжительный срок) - при временном технологическом присоединении заявителей, </w:t>
            </w:r>
            <w:r>
              <w:rPr>
                <w:color w:val="333333"/>
              </w:rPr>
              <w:t>энергопринимающие устройства которых являются передвижными и имеют максимальную мощность до 150 кВт включительно, если расстояние от энергопринимающего устройства заявителя до существующих электрических сетей необходимого класса напряжения составляет не бо</w:t>
            </w:r>
            <w:r>
              <w:rPr>
                <w:color w:val="333333"/>
              </w:rPr>
              <w:t>лее 300 метров;</w:t>
            </w:r>
          </w:p>
          <w:p w:rsidR="001659CD" w:rsidRDefault="00A327A9">
            <w:pPr>
              <w:pStyle w:val="consplusnormal"/>
              <w:spacing w:before="0" w:beforeAutospacing="0" w:after="0" w:afterAutospacing="0"/>
              <w:ind w:firstLine="568"/>
              <w:jc w:val="both"/>
              <w:rPr>
                <w:rFonts w:ascii="Arial" w:hAnsi="Arial" w:cs="Arial"/>
                <w:color w:val="333333"/>
                <w:sz w:val="9"/>
                <w:szCs w:val="9"/>
              </w:rPr>
            </w:pPr>
            <w:r>
              <w:rPr>
                <w:color w:val="333333"/>
              </w:rPr>
              <w:t>6 месяцев - для заявителей, указанных в </w:t>
            </w:r>
            <w:hyperlink r:id="rId10" w:history="1">
              <w:r>
                <w:rPr>
                  <w:rStyle w:val="a5"/>
                </w:rPr>
                <w:t>пунктах 12(1)</w:t>
              </w:r>
            </w:hyperlink>
            <w:r>
              <w:rPr>
                <w:color w:val="333333"/>
              </w:rPr>
              <w:t>, </w:t>
            </w:r>
            <w:hyperlink r:id="rId11" w:history="1">
              <w:r>
                <w:rPr>
                  <w:rStyle w:val="a5"/>
                </w:rPr>
                <w:t>14</w:t>
              </w:r>
            </w:hyperlink>
            <w:r>
              <w:rPr>
                <w:color w:val="333333"/>
              </w:rPr>
              <w:t> и </w:t>
            </w:r>
            <w:hyperlink r:id="rId12" w:history="1">
              <w:r>
                <w:rPr>
                  <w:rStyle w:val="a5"/>
                </w:rPr>
                <w:t>34</w:t>
              </w:r>
            </w:hyperlink>
            <w:r>
              <w:rPr>
                <w:color w:val="333333"/>
              </w:rPr>
              <w:t> Правил технологического присоединения, если те</w:t>
            </w:r>
            <w:r>
              <w:rPr>
                <w:color w:val="333333"/>
              </w:rPr>
              <w:t>хнологическое присоединение осуществляется к электрическим сетям, уровень напряжения которых составляет до 20 кВ включительно, и если расстояние от существующих электрических сетей необходимого класса напряжения до границ участка заявителя, на котором расп</w:t>
            </w:r>
            <w:r>
              <w:rPr>
                <w:color w:val="333333"/>
              </w:rPr>
              <w:t>оложены присоединяемые энергопринимающие устройства, составляет не более 300 метров в городах и поселках городского типа и не более 500 метров в сельской местности;</w:t>
            </w:r>
          </w:p>
          <w:p w:rsidR="001659CD" w:rsidRDefault="00A327A9">
            <w:pPr>
              <w:pStyle w:val="consplusnormal"/>
              <w:spacing w:before="0" w:beforeAutospacing="0" w:after="0" w:afterAutospacing="0"/>
              <w:ind w:firstLine="568"/>
              <w:jc w:val="both"/>
              <w:rPr>
                <w:rFonts w:ascii="Arial" w:hAnsi="Arial" w:cs="Arial"/>
                <w:color w:val="333333"/>
                <w:sz w:val="9"/>
                <w:szCs w:val="9"/>
              </w:rPr>
            </w:pPr>
            <w:r>
              <w:rPr>
                <w:color w:val="333333"/>
              </w:rPr>
              <w:t>1 год - для заявителей, максимальная мощность энергопринимающих устройств которых составляе</w:t>
            </w:r>
            <w:r>
              <w:rPr>
                <w:color w:val="333333"/>
              </w:rPr>
              <w:t xml:space="preserve">т менее 670 кВт, если более короткие сроки не предусмотрены инвестиционной программой соответствующей сетевой организации или соглашением </w:t>
            </w:r>
            <w:r>
              <w:rPr>
                <w:color w:val="333333"/>
              </w:rPr>
              <w:lastRenderedPageBreak/>
              <w:t>сторон;</w:t>
            </w:r>
          </w:p>
          <w:p w:rsidR="001659CD" w:rsidRDefault="00A327A9">
            <w:pPr>
              <w:pStyle w:val="consplusnormal"/>
              <w:spacing w:before="0" w:beforeAutospacing="0" w:after="0" w:afterAutospacing="0"/>
              <w:ind w:firstLine="568"/>
              <w:jc w:val="both"/>
              <w:rPr>
                <w:rFonts w:ascii="Arial" w:hAnsi="Arial" w:cs="Arial"/>
                <w:color w:val="333333"/>
                <w:sz w:val="9"/>
                <w:szCs w:val="9"/>
              </w:rPr>
            </w:pPr>
            <w:r>
              <w:rPr>
                <w:color w:val="333333"/>
              </w:rPr>
              <w:t>2 года - для заявителей, максимальная мощность энергопринимающих устройств которых составляет не менее 670 кВт</w:t>
            </w:r>
            <w:r>
              <w:rPr>
                <w:color w:val="333333"/>
              </w:rPr>
              <w:t>, если иные сроки (но не более 4 лет) не предусмотрены инвестиционной программой соответствующей сетевой организации или соглашением сторон;</w:t>
            </w:r>
          </w:p>
        </w:tc>
      </w:tr>
      <w:tr w:rsidR="00C27240" w:rsidTr="001659CD">
        <w:tc>
          <w:tcPr>
            <w:tcW w:w="9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59CD" w:rsidRDefault="00A327A9">
            <w:pPr>
              <w:pStyle w:val="consplusnormal"/>
              <w:spacing w:before="0" w:beforeAutospacing="0" w:after="0" w:afterAutospacing="0"/>
              <w:ind w:firstLine="647"/>
              <w:rPr>
                <w:rFonts w:ascii="Arial" w:hAnsi="Arial" w:cs="Arial"/>
                <w:color w:val="333333"/>
                <w:sz w:val="9"/>
                <w:szCs w:val="9"/>
              </w:rPr>
            </w:pPr>
            <w:r>
              <w:rPr>
                <w:color w:val="333333"/>
              </w:rPr>
              <w:lastRenderedPageBreak/>
              <w:t>в) положение об ответственности сторон за несоблюдение установленных договором и </w:t>
            </w:r>
            <w:hyperlink r:id="rId13" w:history="1">
              <w:r>
                <w:rPr>
                  <w:rStyle w:val="a5"/>
                </w:rPr>
                <w:t>Правилами</w:t>
              </w:r>
            </w:hyperlink>
            <w:r>
              <w:rPr>
                <w:color w:val="333333"/>
              </w:rPr>
              <w:t> технологического присоединения сроков исполнения своих обязательств, в том числе:</w:t>
            </w:r>
          </w:p>
          <w:p w:rsidR="001659CD" w:rsidRDefault="00A327A9">
            <w:pPr>
              <w:pStyle w:val="consplusnormal"/>
              <w:spacing w:before="0" w:beforeAutospacing="0" w:after="0" w:afterAutospacing="0"/>
              <w:ind w:firstLine="647"/>
              <w:rPr>
                <w:rFonts w:ascii="Arial" w:hAnsi="Arial" w:cs="Arial"/>
                <w:color w:val="333333"/>
                <w:sz w:val="9"/>
                <w:szCs w:val="9"/>
              </w:rPr>
            </w:pPr>
            <w:r>
              <w:rPr>
                <w:color w:val="333333"/>
              </w:rPr>
              <w:t>право заявителя в одностороннем порядке расторгнуть договор при на</w:t>
            </w:r>
            <w:r>
              <w:rPr>
                <w:color w:val="333333"/>
              </w:rPr>
              <w:t>рушении сетевой организацией сроков технологического присоединения, указанных в договоре;</w:t>
            </w:r>
          </w:p>
          <w:p w:rsidR="001659CD" w:rsidRDefault="00A327A9">
            <w:pPr>
              <w:pStyle w:val="consplusnormal"/>
              <w:spacing w:before="0" w:beforeAutospacing="0" w:after="0" w:afterAutospacing="0"/>
              <w:ind w:firstLine="647"/>
              <w:jc w:val="both"/>
              <w:rPr>
                <w:rFonts w:ascii="Arial" w:hAnsi="Arial" w:cs="Arial"/>
                <w:color w:val="333333"/>
                <w:sz w:val="9"/>
                <w:szCs w:val="9"/>
              </w:rPr>
            </w:pPr>
            <w:r>
              <w:rPr>
                <w:color w:val="333333"/>
              </w:rPr>
              <w:t xml:space="preserve">обязанность одной из сторон договора при нарушении ею сроков осуществления мероприятий по технологическому присоединению уплатить другой стороне в течение 10 рабочих </w:t>
            </w:r>
            <w:r>
              <w:rPr>
                <w:color w:val="333333"/>
              </w:rPr>
              <w:t>дней с даты наступления просрочки неустойку, рассчитанную как произведение 0,014 </w:t>
            </w:r>
            <w:hyperlink r:id="rId14" w:history="1">
              <w:r>
                <w:rPr>
                  <w:rStyle w:val="a5"/>
                </w:rPr>
                <w:t>ставки рефинансирования</w:t>
              </w:r>
            </w:hyperlink>
            <w:r>
              <w:rPr>
                <w:color w:val="333333"/>
              </w:rPr>
              <w:t> Центрального банка Российской Федерации, уст</w:t>
            </w:r>
            <w:r>
              <w:rPr>
                <w:color w:val="333333"/>
              </w:rPr>
              <w:t>ановленной на дату заключения договора, и общего размера платы за технологическое присоединение по договору за каждый день просрочки;</w:t>
            </w:r>
          </w:p>
          <w:p w:rsidR="001659CD" w:rsidRDefault="00A327A9">
            <w:pPr>
              <w:pStyle w:val="consplusnormal"/>
              <w:spacing w:before="0" w:beforeAutospacing="0" w:after="0" w:afterAutospacing="0"/>
              <w:ind w:firstLine="647"/>
              <w:jc w:val="both"/>
              <w:rPr>
                <w:rFonts w:ascii="Arial" w:hAnsi="Arial" w:cs="Arial"/>
                <w:color w:val="333333"/>
                <w:sz w:val="9"/>
                <w:szCs w:val="9"/>
              </w:rPr>
            </w:pPr>
            <w:r>
              <w:rPr>
                <w:color w:val="333333"/>
              </w:rPr>
              <w:t>г) порядок разграничения балансовой принадлежности электрических сетей и эксплуатационной ответственности сторон;</w:t>
            </w:r>
          </w:p>
          <w:p w:rsidR="001659CD" w:rsidRDefault="00A327A9" w:rsidP="001D281F">
            <w:pPr>
              <w:pStyle w:val="consplusnormal"/>
              <w:spacing w:before="0" w:beforeAutospacing="0" w:after="0" w:afterAutospacing="0"/>
              <w:ind w:firstLine="505"/>
              <w:jc w:val="both"/>
              <w:rPr>
                <w:rFonts w:ascii="Arial" w:hAnsi="Arial" w:cs="Arial"/>
                <w:color w:val="333333"/>
                <w:sz w:val="9"/>
                <w:szCs w:val="9"/>
              </w:rPr>
            </w:pPr>
            <w:r>
              <w:rPr>
                <w:color w:val="333333"/>
              </w:rPr>
              <w:t>д) разме</w:t>
            </w:r>
            <w:r>
              <w:rPr>
                <w:color w:val="333333"/>
              </w:rPr>
              <w:t>р платы за технологическое присоединение, определяемый в соответствии с законодательством Российской Федерации в сфере электроэнергетики (при осуществлении технологического присоединения по индивидуальному проекту размер платы за технологическое присоедине</w:t>
            </w:r>
            <w:r>
              <w:rPr>
                <w:color w:val="333333"/>
              </w:rPr>
              <w:t>ние определяется с учетом особенностей, установленных </w:t>
            </w:r>
            <w:hyperlink r:id="rId15" w:history="1">
              <w:r>
                <w:rPr>
                  <w:rStyle w:val="a5"/>
                </w:rPr>
                <w:t>разделом III</w:t>
              </w:r>
            </w:hyperlink>
            <w:r>
              <w:rPr>
                <w:color w:val="333333"/>
              </w:rPr>
              <w:t> Правил технологического присоединения); </w:t>
            </w:r>
            <w:r w:rsidR="001D281F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е) порядок и сроки внесен</w:t>
            </w:r>
            <w:r>
              <w:rPr>
                <w:color w:val="333333"/>
              </w:rPr>
              <w:t>ия заявителем платы за технологическое присоединение </w:t>
            </w:r>
          </w:p>
        </w:tc>
      </w:tr>
    </w:tbl>
    <w:p w:rsidR="00F06424" w:rsidRDefault="00F06424" w:rsidP="001D281F">
      <w:pPr>
        <w:pStyle w:val="consplusnormal"/>
        <w:shd w:val="clear" w:color="auto" w:fill="FFFFFF"/>
        <w:spacing w:before="98" w:beforeAutospacing="0" w:after="98" w:afterAutospacing="0"/>
        <w:ind w:firstLine="540"/>
        <w:jc w:val="both"/>
        <w:sectPr w:rsidR="00F06424" w:rsidSect="002131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6424" w:rsidRDefault="00F06424" w:rsidP="00A327A9">
      <w:pPr>
        <w:jc w:val="right"/>
        <w:rPr>
          <w:rFonts w:ascii="Times New Roman" w:hAnsi="Times New Roman"/>
          <w:sz w:val="24"/>
          <w:szCs w:val="24"/>
        </w:rPr>
      </w:pPr>
    </w:p>
    <w:sectPr w:rsidR="00F06424" w:rsidSect="00213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32A0"/>
    <w:multiLevelType w:val="hybridMultilevel"/>
    <w:tmpl w:val="CA686B8A"/>
    <w:lvl w:ilvl="0" w:tplc="9CB2E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64AC3A" w:tentative="1">
      <w:start w:val="1"/>
      <w:numFmt w:val="lowerLetter"/>
      <w:lvlText w:val="%2."/>
      <w:lvlJc w:val="left"/>
      <w:pPr>
        <w:ind w:left="1440" w:hanging="360"/>
      </w:pPr>
    </w:lvl>
    <w:lvl w:ilvl="2" w:tplc="987C4B90" w:tentative="1">
      <w:start w:val="1"/>
      <w:numFmt w:val="lowerRoman"/>
      <w:lvlText w:val="%3."/>
      <w:lvlJc w:val="right"/>
      <w:pPr>
        <w:ind w:left="2160" w:hanging="180"/>
      </w:pPr>
    </w:lvl>
    <w:lvl w:ilvl="3" w:tplc="4FBEB126" w:tentative="1">
      <w:start w:val="1"/>
      <w:numFmt w:val="decimal"/>
      <w:lvlText w:val="%4."/>
      <w:lvlJc w:val="left"/>
      <w:pPr>
        <w:ind w:left="2880" w:hanging="360"/>
      </w:pPr>
    </w:lvl>
    <w:lvl w:ilvl="4" w:tplc="98A8E230" w:tentative="1">
      <w:start w:val="1"/>
      <w:numFmt w:val="lowerLetter"/>
      <w:lvlText w:val="%5."/>
      <w:lvlJc w:val="left"/>
      <w:pPr>
        <w:ind w:left="3600" w:hanging="360"/>
      </w:pPr>
    </w:lvl>
    <w:lvl w:ilvl="5" w:tplc="D8501CF6" w:tentative="1">
      <w:start w:val="1"/>
      <w:numFmt w:val="lowerRoman"/>
      <w:lvlText w:val="%6."/>
      <w:lvlJc w:val="right"/>
      <w:pPr>
        <w:ind w:left="4320" w:hanging="180"/>
      </w:pPr>
    </w:lvl>
    <w:lvl w:ilvl="6" w:tplc="7CAE9976" w:tentative="1">
      <w:start w:val="1"/>
      <w:numFmt w:val="decimal"/>
      <w:lvlText w:val="%7."/>
      <w:lvlJc w:val="left"/>
      <w:pPr>
        <w:ind w:left="5040" w:hanging="360"/>
      </w:pPr>
    </w:lvl>
    <w:lvl w:ilvl="7" w:tplc="BF8252F4" w:tentative="1">
      <w:start w:val="1"/>
      <w:numFmt w:val="lowerLetter"/>
      <w:lvlText w:val="%8."/>
      <w:lvlJc w:val="left"/>
      <w:pPr>
        <w:ind w:left="5760" w:hanging="360"/>
      </w:pPr>
    </w:lvl>
    <w:lvl w:ilvl="8" w:tplc="D376D1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626B6"/>
    <w:multiLevelType w:val="hybridMultilevel"/>
    <w:tmpl w:val="D0EEE93C"/>
    <w:lvl w:ilvl="0" w:tplc="F45CE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68403C" w:tentative="1">
      <w:start w:val="1"/>
      <w:numFmt w:val="lowerLetter"/>
      <w:lvlText w:val="%2."/>
      <w:lvlJc w:val="left"/>
      <w:pPr>
        <w:ind w:left="1440" w:hanging="360"/>
      </w:pPr>
    </w:lvl>
    <w:lvl w:ilvl="2" w:tplc="A9D618D4" w:tentative="1">
      <w:start w:val="1"/>
      <w:numFmt w:val="lowerRoman"/>
      <w:lvlText w:val="%3."/>
      <w:lvlJc w:val="right"/>
      <w:pPr>
        <w:ind w:left="2160" w:hanging="180"/>
      </w:pPr>
    </w:lvl>
    <w:lvl w:ilvl="3" w:tplc="02ACD2A8" w:tentative="1">
      <w:start w:val="1"/>
      <w:numFmt w:val="decimal"/>
      <w:lvlText w:val="%4."/>
      <w:lvlJc w:val="left"/>
      <w:pPr>
        <w:ind w:left="2880" w:hanging="360"/>
      </w:pPr>
    </w:lvl>
    <w:lvl w:ilvl="4" w:tplc="FD60E634" w:tentative="1">
      <w:start w:val="1"/>
      <w:numFmt w:val="lowerLetter"/>
      <w:lvlText w:val="%5."/>
      <w:lvlJc w:val="left"/>
      <w:pPr>
        <w:ind w:left="3600" w:hanging="360"/>
      </w:pPr>
    </w:lvl>
    <w:lvl w:ilvl="5" w:tplc="F5067566" w:tentative="1">
      <w:start w:val="1"/>
      <w:numFmt w:val="lowerRoman"/>
      <w:lvlText w:val="%6."/>
      <w:lvlJc w:val="right"/>
      <w:pPr>
        <w:ind w:left="4320" w:hanging="180"/>
      </w:pPr>
    </w:lvl>
    <w:lvl w:ilvl="6" w:tplc="43D245D0" w:tentative="1">
      <w:start w:val="1"/>
      <w:numFmt w:val="decimal"/>
      <w:lvlText w:val="%7."/>
      <w:lvlJc w:val="left"/>
      <w:pPr>
        <w:ind w:left="5040" w:hanging="360"/>
      </w:pPr>
    </w:lvl>
    <w:lvl w:ilvl="7" w:tplc="C49AF7CE" w:tentative="1">
      <w:start w:val="1"/>
      <w:numFmt w:val="lowerLetter"/>
      <w:lvlText w:val="%8."/>
      <w:lvlJc w:val="left"/>
      <w:pPr>
        <w:ind w:left="5760" w:hanging="360"/>
      </w:pPr>
    </w:lvl>
    <w:lvl w:ilvl="8" w:tplc="2700B8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3F6D"/>
    <w:multiLevelType w:val="hybridMultilevel"/>
    <w:tmpl w:val="9C78429A"/>
    <w:lvl w:ilvl="0" w:tplc="C9484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981FFA" w:tentative="1">
      <w:start w:val="1"/>
      <w:numFmt w:val="lowerLetter"/>
      <w:lvlText w:val="%2."/>
      <w:lvlJc w:val="left"/>
      <w:pPr>
        <w:ind w:left="1440" w:hanging="360"/>
      </w:pPr>
    </w:lvl>
    <w:lvl w:ilvl="2" w:tplc="09DA5494" w:tentative="1">
      <w:start w:val="1"/>
      <w:numFmt w:val="lowerRoman"/>
      <w:lvlText w:val="%3."/>
      <w:lvlJc w:val="right"/>
      <w:pPr>
        <w:ind w:left="2160" w:hanging="180"/>
      </w:pPr>
    </w:lvl>
    <w:lvl w:ilvl="3" w:tplc="174C1B0A" w:tentative="1">
      <w:start w:val="1"/>
      <w:numFmt w:val="decimal"/>
      <w:lvlText w:val="%4."/>
      <w:lvlJc w:val="left"/>
      <w:pPr>
        <w:ind w:left="2880" w:hanging="360"/>
      </w:pPr>
    </w:lvl>
    <w:lvl w:ilvl="4" w:tplc="B360060E" w:tentative="1">
      <w:start w:val="1"/>
      <w:numFmt w:val="lowerLetter"/>
      <w:lvlText w:val="%5."/>
      <w:lvlJc w:val="left"/>
      <w:pPr>
        <w:ind w:left="3600" w:hanging="360"/>
      </w:pPr>
    </w:lvl>
    <w:lvl w:ilvl="5" w:tplc="905448EA" w:tentative="1">
      <w:start w:val="1"/>
      <w:numFmt w:val="lowerRoman"/>
      <w:lvlText w:val="%6."/>
      <w:lvlJc w:val="right"/>
      <w:pPr>
        <w:ind w:left="4320" w:hanging="180"/>
      </w:pPr>
    </w:lvl>
    <w:lvl w:ilvl="6" w:tplc="ACB2A5A2" w:tentative="1">
      <w:start w:val="1"/>
      <w:numFmt w:val="decimal"/>
      <w:lvlText w:val="%7."/>
      <w:lvlJc w:val="left"/>
      <w:pPr>
        <w:ind w:left="5040" w:hanging="360"/>
      </w:pPr>
    </w:lvl>
    <w:lvl w:ilvl="7" w:tplc="CDA81BEA" w:tentative="1">
      <w:start w:val="1"/>
      <w:numFmt w:val="lowerLetter"/>
      <w:lvlText w:val="%8."/>
      <w:lvlJc w:val="left"/>
      <w:pPr>
        <w:ind w:left="5760" w:hanging="360"/>
      </w:pPr>
    </w:lvl>
    <w:lvl w:ilvl="8" w:tplc="4E86E91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EA1"/>
    <w:rsid w:val="00026CAA"/>
    <w:rsid w:val="00053093"/>
    <w:rsid w:val="000615E3"/>
    <w:rsid w:val="000E165B"/>
    <w:rsid w:val="0015049B"/>
    <w:rsid w:val="001659CD"/>
    <w:rsid w:val="00191ED4"/>
    <w:rsid w:val="001C5743"/>
    <w:rsid w:val="001D281F"/>
    <w:rsid w:val="001E4323"/>
    <w:rsid w:val="001F5C9E"/>
    <w:rsid w:val="002107DE"/>
    <w:rsid w:val="00211AB4"/>
    <w:rsid w:val="0021314A"/>
    <w:rsid w:val="002448D4"/>
    <w:rsid w:val="00271447"/>
    <w:rsid w:val="00283E97"/>
    <w:rsid w:val="00291183"/>
    <w:rsid w:val="002C5022"/>
    <w:rsid w:val="002D4F0F"/>
    <w:rsid w:val="0032019D"/>
    <w:rsid w:val="0034687C"/>
    <w:rsid w:val="003638B8"/>
    <w:rsid w:val="00371BDF"/>
    <w:rsid w:val="00381408"/>
    <w:rsid w:val="00390BB9"/>
    <w:rsid w:val="003D29CF"/>
    <w:rsid w:val="003F275E"/>
    <w:rsid w:val="004108A1"/>
    <w:rsid w:val="00492DD1"/>
    <w:rsid w:val="004A6EE0"/>
    <w:rsid w:val="004C6C83"/>
    <w:rsid w:val="004D0C46"/>
    <w:rsid w:val="004E7E3C"/>
    <w:rsid w:val="005510B0"/>
    <w:rsid w:val="005B4A2D"/>
    <w:rsid w:val="005E329D"/>
    <w:rsid w:val="0060741F"/>
    <w:rsid w:val="00642DFE"/>
    <w:rsid w:val="0067733B"/>
    <w:rsid w:val="006C01F6"/>
    <w:rsid w:val="006D3DA4"/>
    <w:rsid w:val="00701B02"/>
    <w:rsid w:val="00701BA3"/>
    <w:rsid w:val="0070733E"/>
    <w:rsid w:val="007B3609"/>
    <w:rsid w:val="00805B3F"/>
    <w:rsid w:val="00815A5A"/>
    <w:rsid w:val="00893B73"/>
    <w:rsid w:val="008A6FA1"/>
    <w:rsid w:val="008E6295"/>
    <w:rsid w:val="00903A41"/>
    <w:rsid w:val="00952D55"/>
    <w:rsid w:val="009C4AD8"/>
    <w:rsid w:val="009D08B9"/>
    <w:rsid w:val="00A327A9"/>
    <w:rsid w:val="00AB0132"/>
    <w:rsid w:val="00AF07E6"/>
    <w:rsid w:val="00B001D1"/>
    <w:rsid w:val="00B355EA"/>
    <w:rsid w:val="00B5172A"/>
    <w:rsid w:val="00BE5288"/>
    <w:rsid w:val="00C27240"/>
    <w:rsid w:val="00CD1957"/>
    <w:rsid w:val="00D17109"/>
    <w:rsid w:val="00D52EA1"/>
    <w:rsid w:val="00D70C1A"/>
    <w:rsid w:val="00D76757"/>
    <w:rsid w:val="00DB4D88"/>
    <w:rsid w:val="00DC63A9"/>
    <w:rsid w:val="00DD41AD"/>
    <w:rsid w:val="00F06424"/>
    <w:rsid w:val="00F1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A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659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93B73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642DFE"/>
    <w:rPr>
      <w:color w:val="0563C1"/>
      <w:u w:val="single"/>
    </w:rPr>
  </w:style>
  <w:style w:type="table" w:styleId="a6">
    <w:name w:val="Table Grid"/>
    <w:basedOn w:val="a1"/>
    <w:uiPriority w:val="39"/>
    <w:rsid w:val="004C6C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638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59C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basedOn w:val="a"/>
    <w:rsid w:val="001659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90CF473B4CD20C450A1A7312675805CEBD86EA683D28DC212E5110779D62B7211466992B993CCCH407G" TargetMode="External"/><Relationship Id="rId13" Type="http://schemas.openxmlformats.org/officeDocument/2006/relationships/hyperlink" Target="consultantplus://offline/ref=653FF5B20CDC58A9D45918348E18CFC2550001CD897FCBA07CAF96C9B1FDDFA1B75E05ACA1DFE888R4f0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490CF473B4CD20C450A1A7312675805CEBD86EA683D28DC212E5110779D62B7211466992B983BCBH400G" TargetMode="External"/><Relationship Id="rId12" Type="http://schemas.openxmlformats.org/officeDocument/2006/relationships/hyperlink" Target="consultantplus://offline/ref=653FF5B20CDC58A9D45918348E18CFC2550001CD897FCBA07CAF96C9B1FDDFA1B75E05ACA1DEEE87R4f6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490CF473B4CD20C450A1A7312675805CEBD86EA683D28DC212E5110779D62B7211466992B9932C3H402G" TargetMode="External"/><Relationship Id="rId11" Type="http://schemas.openxmlformats.org/officeDocument/2006/relationships/hyperlink" Target="consultantplus://offline/ref=653FF5B20CDC58A9D45918348E18CFC2550001CD897FCBA07CAF96C9B1FDDFA1B75E05ACA1DEEF87R4f6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53FF5B20CDC58A9D45918348E18CFC2550001CD897FCBA07CAF96C9B1FDDFA1B75E05AERAf9K" TargetMode="External"/><Relationship Id="rId10" Type="http://schemas.openxmlformats.org/officeDocument/2006/relationships/hyperlink" Target="consultantplus://offline/ref=653FF5B20CDC58A9D45918348E18CFC2550001CD897FCBA07CAF96C9B1FDDFA1B75E05A9A2RDf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3FF5B20CDC58A9D45918348E18CFC2550001CD897FCBA07CAF96C9B1FDDFA1B75E05ACA1DFE78DR4f4K" TargetMode="External"/><Relationship Id="rId14" Type="http://schemas.openxmlformats.org/officeDocument/2006/relationships/hyperlink" Target="consultantplus://offline/ref=653FF5B20CDC58A9D45918348E18CFC2550A03C0897196AA74F69ACBRBf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16</Pages>
  <Words>2718</Words>
  <Characters>15499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Bashkirenergo</Company>
  <LinksUpToDate>false</LinksUpToDate>
  <CharactersWithSpaces>18181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Деткина Ольга Владимировна</dc:creator>
  <cp:lastModifiedBy>Папанина Елена Константиновна</cp:lastModifiedBy>
  <cp:revision>27</cp:revision>
  <cp:lastPrinted>2015-01-14T09:53:00Z</cp:lastPrinted>
  <dcterms:created xsi:type="dcterms:W3CDTF">2019-05-28T04:36:00Z</dcterms:created>
  <dcterms:modified xsi:type="dcterms:W3CDTF">2021-01-20T06:47:00Z</dcterms:modified>
</cp:coreProperties>
</file>